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7C42" w14:textId="493BBF50" w:rsidR="00EA0927" w:rsidRPr="00F444E5" w:rsidRDefault="009B1CCF" w:rsidP="002F3CAA">
      <w:pPr>
        <w:spacing w:line="276" w:lineRule="auto"/>
        <w:rPr>
          <w:b/>
          <w:sz w:val="28"/>
          <w:szCs w:val="28"/>
        </w:rPr>
      </w:pPr>
      <w:r w:rsidRPr="009B1CCF">
        <w:rPr>
          <w:rFonts w:cs="Lucida Grande"/>
          <w:b/>
          <w:color w:val="262626"/>
          <w:sz w:val="28"/>
          <w:szCs w:val="28"/>
        </w:rPr>
        <w:t xml:space="preserve">GNSO Council Recommendations Report to the Board </w:t>
      </w:r>
      <w:r w:rsidR="00DD69AA">
        <w:rPr>
          <w:rFonts w:cs="Lucida Grande"/>
          <w:b/>
          <w:color w:val="262626"/>
          <w:sz w:val="28"/>
          <w:szCs w:val="28"/>
        </w:rPr>
        <w:t>regarding</w:t>
      </w:r>
      <w:r w:rsidR="00F444E5" w:rsidRPr="00F444E5">
        <w:rPr>
          <w:rFonts w:cs="Lucida Grande"/>
          <w:b/>
          <w:color w:val="262626"/>
          <w:sz w:val="28"/>
          <w:szCs w:val="28"/>
        </w:rPr>
        <w:t xml:space="preserve"> </w:t>
      </w:r>
      <w:r w:rsidR="009A498F">
        <w:rPr>
          <w:rFonts w:cs="Lucida Grande"/>
          <w:b/>
          <w:color w:val="262626"/>
          <w:sz w:val="28"/>
          <w:szCs w:val="28"/>
        </w:rPr>
        <w:t>A</w:t>
      </w:r>
      <w:r w:rsidR="00F444E5" w:rsidRPr="00F444E5">
        <w:rPr>
          <w:rFonts w:cs="Lucida Grande"/>
          <w:b/>
          <w:color w:val="262626"/>
          <w:sz w:val="28"/>
          <w:szCs w:val="28"/>
        </w:rPr>
        <w:t xml:space="preserve">doption of the </w:t>
      </w:r>
      <w:r w:rsidR="009A498F">
        <w:rPr>
          <w:rFonts w:cs="Lucida Grande"/>
          <w:b/>
          <w:color w:val="262626"/>
          <w:sz w:val="28"/>
          <w:szCs w:val="28"/>
        </w:rPr>
        <w:t>Final</w:t>
      </w:r>
      <w:r w:rsidR="00B24A40">
        <w:rPr>
          <w:rFonts w:cs="Lucida Grande"/>
          <w:b/>
          <w:color w:val="262626"/>
          <w:sz w:val="28"/>
          <w:szCs w:val="28"/>
        </w:rPr>
        <w:t xml:space="preserve"> Recommendations</w:t>
      </w:r>
      <w:r w:rsidR="009A498F">
        <w:rPr>
          <w:rFonts w:cs="Lucida Grande"/>
          <w:b/>
          <w:color w:val="262626"/>
          <w:sz w:val="28"/>
          <w:szCs w:val="28"/>
        </w:rPr>
        <w:t xml:space="preserve"> from the Policy Development Process Working Group on Privacy and Proxy Services Accreditation Issues</w:t>
      </w:r>
    </w:p>
    <w:p w14:paraId="4475B463" w14:textId="77777777" w:rsidR="00F444E5" w:rsidRDefault="00F444E5" w:rsidP="002F3CAA">
      <w:pPr>
        <w:spacing w:line="276" w:lineRule="auto"/>
        <w:rPr>
          <w:b/>
        </w:rPr>
      </w:pPr>
    </w:p>
    <w:p w14:paraId="72960D95" w14:textId="77777777" w:rsidR="00605C1E" w:rsidRPr="00BD6CB2" w:rsidRDefault="00BD6CB2" w:rsidP="002F3CAA">
      <w:pPr>
        <w:spacing w:line="276" w:lineRule="auto"/>
        <w:rPr>
          <w:b/>
        </w:rPr>
      </w:pPr>
      <w:r w:rsidRPr="00BD6CB2">
        <w:rPr>
          <w:b/>
        </w:rPr>
        <w:t xml:space="preserve">1. </w:t>
      </w:r>
      <w:r w:rsidR="00F261EF" w:rsidRPr="00BD6CB2">
        <w:rPr>
          <w:b/>
        </w:rPr>
        <w:t>Executive Summary</w:t>
      </w:r>
    </w:p>
    <w:p w14:paraId="0194023F" w14:textId="77777777" w:rsidR="00F261EF" w:rsidRDefault="00F261EF" w:rsidP="002F3CAA">
      <w:pPr>
        <w:spacing w:line="276" w:lineRule="auto"/>
      </w:pPr>
    </w:p>
    <w:p w14:paraId="416A16EB" w14:textId="038C478D" w:rsidR="009A498F" w:rsidRDefault="009A498F" w:rsidP="002F3CAA">
      <w:pPr>
        <w:spacing w:line="276" w:lineRule="auto"/>
      </w:pPr>
      <w:r>
        <w:t xml:space="preserve">On 21 January 2016 the GNSO Council </w:t>
      </w:r>
      <w:hyperlink r:id="rId7" w:anchor="201601" w:history="1">
        <w:r>
          <w:rPr>
            <w:rStyle w:val="Hyperlink"/>
          </w:rPr>
          <w:t>voted</w:t>
        </w:r>
      </w:hyperlink>
      <w:r>
        <w:t xml:space="preserve"> unani</w:t>
      </w:r>
      <w:r w:rsidR="00DD69AA">
        <w:t xml:space="preserve">mously to approve all the </w:t>
      </w:r>
      <w:r>
        <w:t xml:space="preserve">recommendations contained in the </w:t>
      </w:r>
      <w:hyperlink r:id="rId8" w:history="1">
        <w:r>
          <w:rPr>
            <w:rStyle w:val="Hyperlink"/>
          </w:rPr>
          <w:t>Final Report</w:t>
        </w:r>
      </w:hyperlink>
      <w:r>
        <w:t xml:space="preserve"> from the GNSO Working Group that had been chartered to conduct a Policy Development Process (PDP) on privacy and proxy services accreditation issues. This Recommendations Report is being sent to the Board for its review of the PDP recommendations, which the GNSO Council recommends be adopted by the Board. All the final </w:t>
      </w:r>
      <w:r w:rsidR="00DD69AA">
        <w:t xml:space="preserve">PDP </w:t>
      </w:r>
      <w:r>
        <w:t>recommendations received Full Consensus support from all the members of the Working Group</w:t>
      </w:r>
      <w:r w:rsidR="002F3CAA">
        <w:t xml:space="preserve"> (please see Annex A for a summary of all the approved recommendations)</w:t>
      </w:r>
      <w:r>
        <w:t>.</w:t>
      </w:r>
      <w:bookmarkStart w:id="0" w:name="_GoBack"/>
      <w:bookmarkEnd w:id="0"/>
    </w:p>
    <w:p w14:paraId="5153BD50" w14:textId="77777777" w:rsidR="009A498F" w:rsidRDefault="009A498F" w:rsidP="002F3CAA">
      <w:pPr>
        <w:spacing w:line="276" w:lineRule="auto"/>
      </w:pPr>
    </w:p>
    <w:p w14:paraId="07B2FDA6" w14:textId="2FDDF9D9" w:rsidR="003F35D1" w:rsidRDefault="009A498F" w:rsidP="002F3CAA">
      <w:pPr>
        <w:spacing w:line="276" w:lineRule="auto"/>
        <w:rPr>
          <w:rFonts w:cs="Calibri"/>
          <w:szCs w:val="22"/>
        </w:rPr>
      </w:pPr>
      <w:r>
        <w:rPr>
          <w:rFonts w:cs="Calibri"/>
          <w:szCs w:val="22"/>
        </w:rPr>
        <w:t xml:space="preserve">The Privacy and Proxy Services Accreditation issues (PPSAI) PDP Working Group had been </w:t>
      </w:r>
      <w:hyperlink r:id="rId9" w:history="1">
        <w:r>
          <w:rPr>
            <w:rStyle w:val="Hyperlink"/>
            <w:rFonts w:cs="Calibri"/>
            <w:szCs w:val="22"/>
          </w:rPr>
          <w:t>chartered</w:t>
        </w:r>
      </w:hyperlink>
      <w:r>
        <w:rPr>
          <w:rFonts w:cs="Calibri"/>
          <w:szCs w:val="22"/>
        </w:rPr>
        <w:t xml:space="preserve"> to “</w:t>
      </w:r>
      <w:r w:rsidRPr="009A498F">
        <w:rPr>
          <w:rFonts w:cs="Calibri"/>
          <w:szCs w:val="22"/>
          <w:lang w:val="en-GB"/>
        </w:rPr>
        <w:t>provide the GNSO Council with policy recommendations regarding the issues identified during the 2013 RAA negotiations, including recommendations made by law enforcement and GNSO working groups, that were not addressed during the 2013 RAA negotiations and otherwise suited for a PDP; specifically, issues relating to the accreditation of Privacy &amp; Proxy Services.</w:t>
      </w:r>
      <w:r>
        <w:t>”</w:t>
      </w:r>
      <w:r w:rsidR="003F35D1" w:rsidRPr="00434384">
        <w:rPr>
          <w:rFonts w:cs="Calibri"/>
          <w:szCs w:val="22"/>
        </w:rPr>
        <w:t xml:space="preserve"> As part of its deliberations on this issue, the</w:t>
      </w:r>
      <w:r w:rsidR="003F35D1">
        <w:rPr>
          <w:rFonts w:cs="Calibri"/>
          <w:szCs w:val="22"/>
        </w:rPr>
        <w:t xml:space="preserve"> Working Group </w:t>
      </w:r>
      <w:r>
        <w:rPr>
          <w:rFonts w:cs="Calibri"/>
          <w:szCs w:val="22"/>
        </w:rPr>
        <w:t>was tasked to consider</w:t>
      </w:r>
      <w:r w:rsidR="003F35D1" w:rsidRPr="00434384">
        <w:rPr>
          <w:rFonts w:cs="Calibri"/>
          <w:szCs w:val="22"/>
        </w:rPr>
        <w:t>, at a minimum,</w:t>
      </w:r>
      <w:r w:rsidR="003F35D1">
        <w:rPr>
          <w:rFonts w:cs="Calibri"/>
          <w:szCs w:val="22"/>
        </w:rPr>
        <w:t xml:space="preserve"> </w:t>
      </w:r>
      <w:r>
        <w:rPr>
          <w:rFonts w:cs="Calibri"/>
          <w:szCs w:val="22"/>
        </w:rPr>
        <w:t xml:space="preserve">the issues outlined in the </w:t>
      </w:r>
      <w:hyperlink r:id="rId10" w:history="1">
        <w:r w:rsidRPr="00105697">
          <w:rPr>
            <w:rStyle w:val="Hyperlink"/>
          </w:rPr>
          <w:t>Staff Briefing Paper</w:t>
        </w:r>
      </w:hyperlink>
      <w:r>
        <w:rPr>
          <w:rStyle w:val="Hyperlink"/>
        </w:rPr>
        <w:t xml:space="preserve"> </w:t>
      </w:r>
      <w:r>
        <w:rPr>
          <w:rFonts w:cs="Calibri"/>
          <w:szCs w:val="22"/>
        </w:rPr>
        <w:t xml:space="preserve">that had been published in September 2013 on the topic. These issues covered various aspects of a possible accreditation program for privacy and proxy services, including the relay and reveal of requests for customer contact information, </w:t>
      </w:r>
      <w:r w:rsidR="00901D61">
        <w:rPr>
          <w:rFonts w:cs="Calibri"/>
          <w:szCs w:val="22"/>
        </w:rPr>
        <w:t xml:space="preserve">requirements for the </w:t>
      </w:r>
      <w:proofErr w:type="spellStart"/>
      <w:r>
        <w:rPr>
          <w:rFonts w:cs="Calibri"/>
          <w:szCs w:val="22"/>
        </w:rPr>
        <w:t>contactability</w:t>
      </w:r>
      <w:proofErr w:type="spellEnd"/>
      <w:r>
        <w:rPr>
          <w:rFonts w:cs="Calibri"/>
          <w:szCs w:val="22"/>
        </w:rPr>
        <w:t xml:space="preserve"> and responsiveness of service providers</w:t>
      </w:r>
      <w:r w:rsidR="00901D61">
        <w:rPr>
          <w:rFonts w:cs="Calibri"/>
          <w:szCs w:val="22"/>
        </w:rPr>
        <w:t xml:space="preserve"> to complaints of abuse</w:t>
      </w:r>
      <w:r>
        <w:rPr>
          <w:rFonts w:cs="Calibri"/>
          <w:szCs w:val="22"/>
        </w:rPr>
        <w:t>,</w:t>
      </w:r>
      <w:r w:rsidR="00901D61">
        <w:rPr>
          <w:rFonts w:cs="Calibri"/>
          <w:szCs w:val="22"/>
        </w:rPr>
        <w:t xml:space="preserve"> and the rights and responsibilities of privacy and proxy service customers.</w:t>
      </w:r>
      <w:r>
        <w:rPr>
          <w:rFonts w:cs="Calibri"/>
          <w:szCs w:val="22"/>
        </w:rPr>
        <w:t xml:space="preserve"> </w:t>
      </w:r>
    </w:p>
    <w:p w14:paraId="71C6B77F" w14:textId="77777777" w:rsidR="00901D61" w:rsidRDefault="00901D61" w:rsidP="002F3CAA">
      <w:pPr>
        <w:spacing w:line="276" w:lineRule="auto"/>
        <w:rPr>
          <w:rFonts w:cs="Calibri"/>
          <w:szCs w:val="22"/>
        </w:rPr>
      </w:pPr>
    </w:p>
    <w:p w14:paraId="6F7A6FC8" w14:textId="6DFEEAAB" w:rsidR="00901D61" w:rsidRPr="00434384" w:rsidRDefault="00901D61" w:rsidP="002F3CAA">
      <w:pPr>
        <w:spacing w:line="276" w:lineRule="auto"/>
        <w:rPr>
          <w:rFonts w:cs="Calibri"/>
          <w:szCs w:val="22"/>
        </w:rPr>
      </w:pPr>
      <w:r>
        <w:rPr>
          <w:rFonts w:cs="Calibri"/>
          <w:szCs w:val="22"/>
        </w:rPr>
        <w:t xml:space="preserve">The PDP Working Group published an </w:t>
      </w:r>
      <w:hyperlink r:id="rId11" w:history="1">
        <w:r w:rsidRPr="00901D61">
          <w:rPr>
            <w:rStyle w:val="Hyperlink"/>
            <w:szCs w:val="22"/>
          </w:rPr>
          <w:t>Initial Report</w:t>
        </w:r>
      </w:hyperlink>
      <w:r>
        <w:rPr>
          <w:sz w:val="24"/>
        </w:rPr>
        <w:t xml:space="preserve"> </w:t>
      </w:r>
      <w:r>
        <w:rPr>
          <w:rFonts w:cs="Calibri"/>
          <w:szCs w:val="22"/>
        </w:rPr>
        <w:t xml:space="preserve">for public comment in May 2015. Following an extensive review of all the public comments received, the Working Group finalized its recommendations and completed its </w:t>
      </w:r>
      <w:hyperlink r:id="rId12" w:history="1">
        <w:r w:rsidR="00DD69AA">
          <w:rPr>
            <w:rStyle w:val="Hyperlink"/>
          </w:rPr>
          <w:t>Final Report</w:t>
        </w:r>
      </w:hyperlink>
      <w:r>
        <w:rPr>
          <w:rFonts w:cs="Calibri"/>
          <w:szCs w:val="22"/>
        </w:rPr>
        <w:t>, which was submitted to the GNSO Council on 7 December 2015.</w:t>
      </w:r>
    </w:p>
    <w:p w14:paraId="1ABC11E0" w14:textId="77777777" w:rsidR="00CB7512" w:rsidRDefault="00CB7512" w:rsidP="002F3CAA">
      <w:pPr>
        <w:spacing w:line="276" w:lineRule="auto"/>
      </w:pPr>
    </w:p>
    <w:p w14:paraId="3D1F39CD" w14:textId="1A04DD46" w:rsidR="00CD1220" w:rsidRDefault="005047C4" w:rsidP="002F3CAA">
      <w:pPr>
        <w:spacing w:line="276" w:lineRule="auto"/>
      </w:pPr>
      <w:r>
        <w:t xml:space="preserve">The policy recommendations, if approved by the Board, will impose obligations on contracted parties. The GNSO Council’s unanimous vote in favor of these items exceeds the voting threshold required </w:t>
      </w:r>
      <w:r w:rsidR="00901D61">
        <w:t>by</w:t>
      </w:r>
      <w:r>
        <w:t xml:space="preserve"> Article X, Section 3.9.f of the ICANN Bylaws regarding the formation of consensus policies. </w:t>
      </w:r>
      <w:r w:rsidR="00E72237" w:rsidRPr="00E72237">
        <w:t>Under the ICANN Bylaws, the Council’s supermajority</w:t>
      </w:r>
      <w:r w:rsidR="00F159AE">
        <w:t xml:space="preserve"> </w:t>
      </w:r>
      <w:r w:rsidR="00E72237" w:rsidRPr="00E72237">
        <w:t xml:space="preserve">support for the </w:t>
      </w:r>
      <w:r w:rsidR="00901D61">
        <w:t>PDP recommendations</w:t>
      </w:r>
      <w:r w:rsidR="00E72237" w:rsidRPr="00E72237">
        <w:t xml:space="preserve"> obligates the Board to adopt the recommendations unless</w:t>
      </w:r>
      <w:r w:rsidR="00901D61">
        <w:t>,</w:t>
      </w:r>
      <w:r w:rsidR="00E72237" w:rsidRPr="00E72237">
        <w:t xml:space="preserve"> by a vote of more than two-thirds, the Board determines that the policy is not in the best interests of the ICANN community or ICANN.</w:t>
      </w:r>
      <w:r w:rsidR="00F159AE">
        <w:t xml:space="preserve"> </w:t>
      </w:r>
    </w:p>
    <w:p w14:paraId="71F945BC" w14:textId="77777777" w:rsidR="00DB6C56" w:rsidRDefault="00DB6C56" w:rsidP="002F3CAA">
      <w:pPr>
        <w:spacing w:line="276" w:lineRule="auto"/>
      </w:pPr>
    </w:p>
    <w:p w14:paraId="101B2AA5" w14:textId="77777777" w:rsidR="002F3CAA" w:rsidRDefault="002F3CAA" w:rsidP="002F3CAA">
      <w:pPr>
        <w:spacing w:line="276" w:lineRule="auto"/>
      </w:pPr>
    </w:p>
    <w:p w14:paraId="02F53C74" w14:textId="169F4C3F" w:rsidR="00DB6C56" w:rsidRPr="009F0276" w:rsidRDefault="003D75DA" w:rsidP="002F3CAA">
      <w:pPr>
        <w:spacing w:line="276" w:lineRule="auto"/>
        <w:rPr>
          <w:b/>
        </w:rPr>
      </w:pPr>
      <w:r w:rsidRPr="009F0276">
        <w:rPr>
          <w:b/>
        </w:rPr>
        <w:lastRenderedPageBreak/>
        <w:t xml:space="preserve">2. If a </w:t>
      </w:r>
      <w:r w:rsidR="00DD69AA">
        <w:rPr>
          <w:b/>
        </w:rPr>
        <w:t>s</w:t>
      </w:r>
      <w:r w:rsidRPr="009F0276">
        <w:rPr>
          <w:b/>
        </w:rPr>
        <w:t xml:space="preserve">uccessful GNSO Vote was not reached, a clear statement of all positions held by Council </w:t>
      </w:r>
      <w:r w:rsidR="00701852" w:rsidRPr="009F0276">
        <w:rPr>
          <w:b/>
        </w:rPr>
        <w:t>members</w:t>
      </w:r>
      <w:r w:rsidRPr="009F0276">
        <w:rPr>
          <w:b/>
        </w:rPr>
        <w:t xml:space="preserve">. Each statement should clearly indicate </w:t>
      </w:r>
      <w:r w:rsidR="0000155D">
        <w:rPr>
          <w:b/>
        </w:rPr>
        <w:t>(</w:t>
      </w:r>
      <w:proofErr w:type="spellStart"/>
      <w:r w:rsidR="0000155D">
        <w:rPr>
          <w:b/>
        </w:rPr>
        <w:t>i</w:t>
      </w:r>
      <w:proofErr w:type="spellEnd"/>
      <w:r w:rsidR="0000155D">
        <w:rPr>
          <w:b/>
        </w:rPr>
        <w:t>)</w:t>
      </w:r>
      <w:r w:rsidR="0000155D" w:rsidRPr="009F0276">
        <w:rPr>
          <w:b/>
        </w:rPr>
        <w:t xml:space="preserve"> </w:t>
      </w:r>
      <w:r w:rsidRPr="009F0276">
        <w:rPr>
          <w:b/>
        </w:rPr>
        <w:t>the re</w:t>
      </w:r>
      <w:r w:rsidR="00701852" w:rsidRPr="009F0276">
        <w:rPr>
          <w:b/>
        </w:rPr>
        <w:t>a</w:t>
      </w:r>
      <w:r w:rsidRPr="009F0276">
        <w:rPr>
          <w:b/>
        </w:rPr>
        <w:t>sons</w:t>
      </w:r>
      <w:r w:rsidR="00701852" w:rsidRPr="009F0276">
        <w:rPr>
          <w:b/>
        </w:rPr>
        <w:t xml:space="preserve"> underlying each position and (ii) the </w:t>
      </w:r>
      <w:r w:rsidR="00DD69AA">
        <w:rPr>
          <w:b/>
        </w:rPr>
        <w:t>C</w:t>
      </w:r>
      <w:r w:rsidR="00701852" w:rsidRPr="009F0276">
        <w:rPr>
          <w:b/>
        </w:rPr>
        <w:t>onstituency(</w:t>
      </w:r>
      <w:proofErr w:type="spellStart"/>
      <w:r w:rsidR="00701852" w:rsidRPr="009F0276">
        <w:rPr>
          <w:b/>
        </w:rPr>
        <w:t>ies</w:t>
      </w:r>
      <w:proofErr w:type="spellEnd"/>
      <w:r w:rsidR="00701852" w:rsidRPr="009F0276">
        <w:rPr>
          <w:b/>
        </w:rPr>
        <w:t>) or Stakeholder Group(s) that held that position.</w:t>
      </w:r>
    </w:p>
    <w:p w14:paraId="151CEB0F" w14:textId="77777777" w:rsidR="00701852" w:rsidRDefault="00701852" w:rsidP="002F3CAA">
      <w:pPr>
        <w:spacing w:line="276" w:lineRule="auto"/>
      </w:pPr>
    </w:p>
    <w:p w14:paraId="11726BC8" w14:textId="77777777" w:rsidR="00701852" w:rsidRDefault="00701852" w:rsidP="002F3CAA">
      <w:pPr>
        <w:spacing w:line="276" w:lineRule="auto"/>
      </w:pPr>
      <w:r>
        <w:t>N/A</w:t>
      </w:r>
    </w:p>
    <w:p w14:paraId="6D9D8D27" w14:textId="77777777" w:rsidR="00701852" w:rsidRDefault="00701852" w:rsidP="002F3CAA">
      <w:pPr>
        <w:spacing w:line="276" w:lineRule="auto"/>
      </w:pPr>
    </w:p>
    <w:p w14:paraId="6B5DFF61" w14:textId="77777777" w:rsidR="002F3CAA" w:rsidRDefault="002F3CAA" w:rsidP="002F3CAA">
      <w:pPr>
        <w:spacing w:line="276" w:lineRule="auto"/>
      </w:pPr>
    </w:p>
    <w:p w14:paraId="503D0588" w14:textId="5163F6A6" w:rsidR="009F0276" w:rsidRPr="009F0276" w:rsidRDefault="009F0276" w:rsidP="002F3CAA">
      <w:pPr>
        <w:spacing w:line="276" w:lineRule="auto"/>
        <w:rPr>
          <w:b/>
        </w:rPr>
      </w:pPr>
      <w:r w:rsidRPr="009F0276">
        <w:rPr>
          <w:b/>
        </w:rPr>
        <w:t xml:space="preserve">3. An analysis of how the issue(s) would affect each Constituency </w:t>
      </w:r>
      <w:r>
        <w:rPr>
          <w:b/>
        </w:rPr>
        <w:t>o</w:t>
      </w:r>
      <w:r w:rsidR="000158CD">
        <w:rPr>
          <w:b/>
        </w:rPr>
        <w:t>r</w:t>
      </w:r>
      <w:r>
        <w:rPr>
          <w:b/>
        </w:rPr>
        <w:t xml:space="preserve"> Stakeholder Group</w:t>
      </w:r>
      <w:r w:rsidRPr="009F0276">
        <w:rPr>
          <w:b/>
        </w:rPr>
        <w:t>,</w:t>
      </w:r>
      <w:r>
        <w:rPr>
          <w:b/>
        </w:rPr>
        <w:t xml:space="preserve"> </w:t>
      </w:r>
      <w:r w:rsidRPr="009F0276">
        <w:rPr>
          <w:b/>
        </w:rPr>
        <w:t xml:space="preserve">including any financial impact on the </w:t>
      </w:r>
      <w:r w:rsidR="00DD69AA">
        <w:rPr>
          <w:b/>
        </w:rPr>
        <w:t>C</w:t>
      </w:r>
      <w:r w:rsidRPr="009F0276">
        <w:rPr>
          <w:b/>
        </w:rPr>
        <w:t xml:space="preserve">onstituency </w:t>
      </w:r>
      <w:r>
        <w:rPr>
          <w:b/>
        </w:rPr>
        <w:t>o</w:t>
      </w:r>
      <w:r w:rsidR="000158CD">
        <w:rPr>
          <w:b/>
        </w:rPr>
        <w:t>r</w:t>
      </w:r>
      <w:r>
        <w:rPr>
          <w:b/>
        </w:rPr>
        <w:t xml:space="preserve"> Stakeholder Group.</w:t>
      </w:r>
    </w:p>
    <w:p w14:paraId="500A0FB1" w14:textId="77777777" w:rsidR="009F0276" w:rsidRDefault="009F0276" w:rsidP="002F3CAA">
      <w:pPr>
        <w:spacing w:line="276" w:lineRule="auto"/>
      </w:pPr>
    </w:p>
    <w:p w14:paraId="476AB44F" w14:textId="46994057" w:rsidR="00ED54DA" w:rsidRDefault="00ED54DA" w:rsidP="002F3CAA">
      <w:pPr>
        <w:spacing w:line="276" w:lineRule="auto"/>
      </w:pPr>
      <w:r>
        <w:t xml:space="preserve">Any policy recommendation regarding the </w:t>
      </w:r>
      <w:r w:rsidR="005E7E88">
        <w:t xml:space="preserve">accreditation of privacy and proxy service providers </w:t>
      </w:r>
      <w:r>
        <w:t>will affect a number of Constituencies and Stakeholder Groups</w:t>
      </w:r>
      <w:r w:rsidR="00DD69AA">
        <w:t>, in particular, those that offer and those that are customers of privacy or proxy services</w:t>
      </w:r>
      <w:r w:rsidR="005E7E88">
        <w:t>.</w:t>
      </w:r>
      <w:r>
        <w:t xml:space="preserve"> </w:t>
      </w:r>
      <w:r w:rsidR="004D20C4">
        <w:t>The Working Group included members from a</w:t>
      </w:r>
      <w:r w:rsidR="005E7E88">
        <w:t xml:space="preserve">ll the GNSO’s Stakeholder Groups and Constituencies </w:t>
      </w:r>
      <w:r w:rsidR="004D20C4">
        <w:t xml:space="preserve">as well as the </w:t>
      </w:r>
      <w:proofErr w:type="gramStart"/>
      <w:r w:rsidR="004D20C4">
        <w:t>At</w:t>
      </w:r>
      <w:proofErr w:type="gramEnd"/>
      <w:r w:rsidR="004D20C4">
        <w:t xml:space="preserve"> Large Advisory Committee and several individuals. The GNSO’s Constituencies and Stakeholder Groups </w:t>
      </w:r>
      <w:r>
        <w:t xml:space="preserve">were </w:t>
      </w:r>
      <w:r w:rsidR="004D20C4">
        <w:t xml:space="preserve">therefore </w:t>
      </w:r>
      <w:r>
        <w:t>adequat</w:t>
      </w:r>
      <w:r w:rsidR="005E7E88">
        <w:t>ely represented during the Work</w:t>
      </w:r>
      <w:r>
        <w:t>ing Group phase of the PDP.</w:t>
      </w:r>
    </w:p>
    <w:p w14:paraId="0D812A58" w14:textId="77777777" w:rsidR="00D32C9F" w:rsidRDefault="00D32C9F" w:rsidP="002F3CAA">
      <w:pPr>
        <w:spacing w:line="276" w:lineRule="auto"/>
        <w:rPr>
          <w:szCs w:val="22"/>
        </w:rPr>
      </w:pPr>
    </w:p>
    <w:p w14:paraId="2829EC61" w14:textId="77777777" w:rsidR="002F3CAA" w:rsidRDefault="002F3CAA" w:rsidP="002F3CAA">
      <w:pPr>
        <w:spacing w:line="276" w:lineRule="auto"/>
        <w:rPr>
          <w:szCs w:val="22"/>
        </w:rPr>
      </w:pPr>
    </w:p>
    <w:p w14:paraId="2F422AFE" w14:textId="1656ABAD" w:rsidR="00001B0E" w:rsidRPr="00001B0E" w:rsidRDefault="00001B0E" w:rsidP="002F3CAA">
      <w:pPr>
        <w:spacing w:line="276" w:lineRule="auto"/>
        <w:rPr>
          <w:b/>
          <w:szCs w:val="22"/>
        </w:rPr>
      </w:pPr>
      <w:r w:rsidRPr="00001B0E">
        <w:rPr>
          <w:b/>
          <w:szCs w:val="22"/>
        </w:rPr>
        <w:t xml:space="preserve">4. An </w:t>
      </w:r>
      <w:r w:rsidR="004D20C4">
        <w:rPr>
          <w:b/>
          <w:szCs w:val="22"/>
        </w:rPr>
        <w:t>a</w:t>
      </w:r>
      <w:r w:rsidRPr="00001B0E">
        <w:rPr>
          <w:b/>
          <w:szCs w:val="22"/>
        </w:rPr>
        <w:t>nalysis of the period of time that would likely be necessary to implement the policy.</w:t>
      </w:r>
    </w:p>
    <w:p w14:paraId="18780E85" w14:textId="77777777" w:rsidR="00001B0E" w:rsidRDefault="00001B0E" w:rsidP="002F3CAA">
      <w:pPr>
        <w:spacing w:line="276" w:lineRule="auto"/>
        <w:rPr>
          <w:szCs w:val="22"/>
        </w:rPr>
      </w:pPr>
    </w:p>
    <w:p w14:paraId="2D429595" w14:textId="594E9B6F" w:rsidR="00B633DA" w:rsidRDefault="00E55A0F" w:rsidP="002F3CAA">
      <w:pPr>
        <w:spacing w:line="276" w:lineRule="auto"/>
      </w:pPr>
      <w:r>
        <w:t xml:space="preserve">The </w:t>
      </w:r>
      <w:r w:rsidR="004D20C4">
        <w:t xml:space="preserve">creation of an accreditation program for privacy and proxy service providers and the implementation of all the recommendations from the PDP will take a substantial period of time due to the scale of the project and the fact that this will be the first time ICANN has implemented such a program for this industry sector. While the Registrar Accreditation Agreement (RAA) may serve as a </w:t>
      </w:r>
      <w:r w:rsidR="00B633DA">
        <w:t>reference</w:t>
      </w:r>
      <w:r w:rsidR="004D20C4">
        <w:t xml:space="preserve"> point for the program, the PDP Working Group’s Final Report acknowledged that this may not be the most appropriate model for a number of reasons. </w:t>
      </w:r>
    </w:p>
    <w:p w14:paraId="0774655F" w14:textId="77777777" w:rsidR="00B633DA" w:rsidRDefault="00B633DA" w:rsidP="002F3CAA">
      <w:pPr>
        <w:spacing w:line="276" w:lineRule="auto"/>
      </w:pPr>
    </w:p>
    <w:p w14:paraId="50D1B94A" w14:textId="1CAAF990" w:rsidR="00757E55" w:rsidRDefault="00B633DA" w:rsidP="002F3CAA">
      <w:pPr>
        <w:spacing w:line="276" w:lineRule="auto"/>
      </w:pPr>
      <w:r>
        <w:t>T</w:t>
      </w:r>
      <w:r w:rsidR="004D20C4">
        <w:t xml:space="preserve">he 2013 RAA contains an interim specification relating to the offering of privacy and proxy services by </w:t>
      </w:r>
      <w:r w:rsidR="00DD69AA">
        <w:t>ICANN-</w:t>
      </w:r>
      <w:r w:rsidR="004D20C4">
        <w:t xml:space="preserve">accredited registrars and their affiliates. This specification is due to expire either on 1 January 2017 or </w:t>
      </w:r>
      <w:r>
        <w:t xml:space="preserve">upon </w:t>
      </w:r>
      <w:r w:rsidR="004D20C4">
        <w:t xml:space="preserve">the launch of an accreditation program, whichever first occurs. ICANN staff believes that </w:t>
      </w:r>
      <w:r w:rsidR="00DD69AA">
        <w:t xml:space="preserve">it </w:t>
      </w:r>
      <w:r>
        <w:t>will be necessary</w:t>
      </w:r>
      <w:r w:rsidR="00DD69AA">
        <w:t xml:space="preserve"> to extend</w:t>
      </w:r>
      <w:r w:rsidR="004D20C4">
        <w:t xml:space="preserve"> the </w:t>
      </w:r>
      <w:r w:rsidR="00DD69AA">
        <w:t xml:space="preserve">duration of the </w:t>
      </w:r>
      <w:r w:rsidR="004D20C4">
        <w:t>interim specification</w:t>
      </w:r>
      <w:r>
        <w:t xml:space="preserve"> by at least </w:t>
      </w:r>
      <w:r w:rsidR="00496266">
        <w:t>12-18 months</w:t>
      </w:r>
      <w:r w:rsidR="004D20C4">
        <w:t xml:space="preserve"> to allow for a fully considered implement</w:t>
      </w:r>
      <w:r w:rsidR="00DD69AA">
        <w:t>ation of the PDP recommendations</w:t>
      </w:r>
      <w:r w:rsidR="004D20C4">
        <w:t>.</w:t>
      </w:r>
      <w:r>
        <w:t xml:space="preserve"> </w:t>
      </w:r>
      <w:r w:rsidR="00496266">
        <w:t xml:space="preserve">This is due to the complexity of the recommendations and in light of ICANN’s </w:t>
      </w:r>
      <w:r w:rsidR="004F15D1">
        <w:t xml:space="preserve">typical </w:t>
      </w:r>
      <w:r w:rsidR="00496266">
        <w:t xml:space="preserve">practice of providing contracted parties </w:t>
      </w:r>
      <w:r w:rsidR="004F15D1">
        <w:t xml:space="preserve">at least </w:t>
      </w:r>
      <w:r w:rsidR="00496266">
        <w:t xml:space="preserve">six months’ notice to come into compliance with new </w:t>
      </w:r>
      <w:r w:rsidR="004F15D1">
        <w:t>p</w:t>
      </w:r>
      <w:r w:rsidR="00496266">
        <w:t xml:space="preserve">olicy requirements after </w:t>
      </w:r>
      <w:r w:rsidR="004F15D1">
        <w:t>p</w:t>
      </w:r>
      <w:r w:rsidR="00496266">
        <w:t xml:space="preserve">olicies are fully implemented. </w:t>
      </w:r>
      <w:r w:rsidR="004F15D1">
        <w:t>In accordance with the terms of the 2013 RAA, t</w:t>
      </w:r>
      <w:r w:rsidR="00496266">
        <w:t xml:space="preserve">his extension of the duration of the interim Specification on Privacy and Proxy Registrations will have to be agreed upon by ICANN and the Registrar Stakeholder Group. </w:t>
      </w:r>
    </w:p>
    <w:p w14:paraId="18BE35D6" w14:textId="77777777" w:rsidR="00482C55" w:rsidRDefault="00482C55" w:rsidP="002F3CAA">
      <w:pPr>
        <w:spacing w:line="276" w:lineRule="auto"/>
      </w:pPr>
    </w:p>
    <w:p w14:paraId="0DAC5AF4" w14:textId="77777777" w:rsidR="002F3CAA" w:rsidRDefault="002F3CAA" w:rsidP="002F3CAA">
      <w:pPr>
        <w:spacing w:line="276" w:lineRule="auto"/>
      </w:pPr>
    </w:p>
    <w:p w14:paraId="54240013" w14:textId="4C6546DC" w:rsidR="006A6FB4" w:rsidRPr="0076156E" w:rsidRDefault="00937534" w:rsidP="002F3CAA">
      <w:pPr>
        <w:spacing w:line="276" w:lineRule="auto"/>
        <w:rPr>
          <w:b/>
        </w:rPr>
      </w:pPr>
      <w:r w:rsidRPr="0076156E">
        <w:rPr>
          <w:b/>
        </w:rPr>
        <w:t xml:space="preserve">5. </w:t>
      </w:r>
      <w:r w:rsidR="0071032C" w:rsidRPr="0076156E">
        <w:rPr>
          <w:b/>
        </w:rPr>
        <w:t xml:space="preserve">The </w:t>
      </w:r>
      <w:r w:rsidR="004D20C4">
        <w:rPr>
          <w:b/>
        </w:rPr>
        <w:t>a</w:t>
      </w:r>
      <w:r w:rsidR="0071032C" w:rsidRPr="0076156E">
        <w:rPr>
          <w:b/>
        </w:rPr>
        <w:t xml:space="preserve">dvice of any outside advisors relied </w:t>
      </w:r>
      <w:r w:rsidR="0076156E" w:rsidRPr="0076156E">
        <w:rPr>
          <w:b/>
        </w:rPr>
        <w:t>upon</w:t>
      </w:r>
      <w:r w:rsidR="0071032C" w:rsidRPr="0076156E">
        <w:rPr>
          <w:b/>
        </w:rPr>
        <w:t>, which sho</w:t>
      </w:r>
      <w:r w:rsidR="0076156E" w:rsidRPr="0076156E">
        <w:rPr>
          <w:b/>
        </w:rPr>
        <w:t>u</w:t>
      </w:r>
      <w:r w:rsidR="0071032C" w:rsidRPr="0076156E">
        <w:rPr>
          <w:b/>
        </w:rPr>
        <w:t xml:space="preserve">ld be accompanied by a detailed </w:t>
      </w:r>
      <w:r w:rsidR="0076156E" w:rsidRPr="0076156E">
        <w:rPr>
          <w:b/>
        </w:rPr>
        <w:t>statement</w:t>
      </w:r>
      <w:r w:rsidR="0071032C" w:rsidRPr="0076156E">
        <w:rPr>
          <w:b/>
        </w:rPr>
        <w:t xml:space="preserve"> of the advisor’s (</w:t>
      </w:r>
      <w:proofErr w:type="spellStart"/>
      <w:r w:rsidR="0071032C" w:rsidRPr="0076156E">
        <w:rPr>
          <w:b/>
        </w:rPr>
        <w:t>i</w:t>
      </w:r>
      <w:proofErr w:type="spellEnd"/>
      <w:r w:rsidR="0071032C" w:rsidRPr="0076156E">
        <w:rPr>
          <w:b/>
        </w:rPr>
        <w:t xml:space="preserve">) </w:t>
      </w:r>
      <w:r w:rsidR="0076156E" w:rsidRPr="0076156E">
        <w:rPr>
          <w:b/>
        </w:rPr>
        <w:t>qualifications</w:t>
      </w:r>
      <w:r w:rsidR="0071032C" w:rsidRPr="0076156E">
        <w:rPr>
          <w:b/>
        </w:rPr>
        <w:t xml:space="preserve"> and relevant experience; and (ii) potential conflicts of interest. </w:t>
      </w:r>
    </w:p>
    <w:p w14:paraId="0423AEA0" w14:textId="77777777" w:rsidR="0071032C" w:rsidRDefault="0071032C" w:rsidP="002F3CAA">
      <w:pPr>
        <w:spacing w:line="276" w:lineRule="auto"/>
      </w:pPr>
    </w:p>
    <w:p w14:paraId="67EEDBCE" w14:textId="77777777" w:rsidR="00B63952" w:rsidRDefault="0076156E" w:rsidP="002F3CAA">
      <w:pPr>
        <w:spacing w:line="276" w:lineRule="auto"/>
      </w:pPr>
      <w:r>
        <w:t xml:space="preserve">No </w:t>
      </w:r>
      <w:r w:rsidR="00C423F5">
        <w:t>outside</w:t>
      </w:r>
      <w:r>
        <w:t xml:space="preserve"> advisor provided</w:t>
      </w:r>
      <w:r w:rsidR="0071032C">
        <w:t xml:space="preserve"> </w:t>
      </w:r>
      <w:r w:rsidR="00C423F5">
        <w:t>input</w:t>
      </w:r>
      <w:r w:rsidR="0071032C">
        <w:t xml:space="preserve"> to the Working Group. </w:t>
      </w:r>
    </w:p>
    <w:p w14:paraId="51736A11" w14:textId="77777777" w:rsidR="00540222" w:rsidRDefault="00540222" w:rsidP="002F3CAA">
      <w:pPr>
        <w:spacing w:line="276" w:lineRule="auto"/>
      </w:pPr>
    </w:p>
    <w:p w14:paraId="53B8EE28" w14:textId="77777777" w:rsidR="0071032C" w:rsidRDefault="0071032C" w:rsidP="002F3CAA">
      <w:pPr>
        <w:spacing w:line="276" w:lineRule="auto"/>
      </w:pPr>
    </w:p>
    <w:p w14:paraId="78956884" w14:textId="24202CDF" w:rsidR="0076156E" w:rsidRPr="00BB7162" w:rsidRDefault="0076156E" w:rsidP="002F3CAA">
      <w:pPr>
        <w:spacing w:line="276" w:lineRule="auto"/>
        <w:rPr>
          <w:b/>
        </w:rPr>
      </w:pPr>
      <w:r w:rsidRPr="00BB7162">
        <w:rPr>
          <w:b/>
        </w:rPr>
        <w:t xml:space="preserve">6. The Final Report </w:t>
      </w:r>
      <w:r w:rsidR="00DD69AA">
        <w:rPr>
          <w:b/>
        </w:rPr>
        <w:t>s</w:t>
      </w:r>
      <w:r w:rsidRPr="00BB7162">
        <w:rPr>
          <w:b/>
        </w:rPr>
        <w:t xml:space="preserve">ubmitted to the </w:t>
      </w:r>
      <w:r w:rsidR="00DD69AA">
        <w:rPr>
          <w:b/>
        </w:rPr>
        <w:t>GNSO</w:t>
      </w:r>
      <w:r w:rsidR="00F80ADE">
        <w:rPr>
          <w:b/>
        </w:rPr>
        <w:t xml:space="preserve"> </w:t>
      </w:r>
      <w:r w:rsidRPr="00BB7162">
        <w:rPr>
          <w:b/>
        </w:rPr>
        <w:t>Council</w:t>
      </w:r>
    </w:p>
    <w:p w14:paraId="27075E85" w14:textId="77777777" w:rsidR="004D20C4" w:rsidRDefault="004D20C4" w:rsidP="002F3CAA">
      <w:pPr>
        <w:spacing w:line="276" w:lineRule="auto"/>
      </w:pPr>
    </w:p>
    <w:p w14:paraId="11647A23" w14:textId="6634C015" w:rsidR="004D20C4" w:rsidRDefault="006E401F" w:rsidP="002F3CAA">
      <w:pPr>
        <w:spacing w:line="276" w:lineRule="auto"/>
      </w:pPr>
      <w:r>
        <w:t>The</w:t>
      </w:r>
      <w:r w:rsidR="00544230">
        <w:t xml:space="preserve"> </w:t>
      </w:r>
      <w:r w:rsidR="00A062A7">
        <w:t>Final Report</w:t>
      </w:r>
      <w:r w:rsidR="004D20C4">
        <w:t xml:space="preserve"> of the Privacy and Proxy Services Accreditation Issues PDP Working Group</w:t>
      </w:r>
      <w:r w:rsidR="00DD69AA">
        <w:t xml:space="preserve"> </w:t>
      </w:r>
      <w:r w:rsidR="008A686E">
        <w:t xml:space="preserve">was submitted to the GNSO Council on 8 December 2015 and </w:t>
      </w:r>
      <w:r w:rsidR="00DD69AA">
        <w:t>can be found here</w:t>
      </w:r>
      <w:r w:rsidR="008A686E">
        <w:t xml:space="preserve"> in full</w:t>
      </w:r>
      <w:r w:rsidR="00EE3628">
        <w:t xml:space="preserve">: </w:t>
      </w:r>
      <w:hyperlink r:id="rId13" w:history="1">
        <w:r w:rsidR="004D20C4">
          <w:rPr>
            <w:rStyle w:val="Hyperlink"/>
          </w:rPr>
          <w:t>Final Report</w:t>
        </w:r>
      </w:hyperlink>
      <w:r w:rsidR="008A686E">
        <w:rPr>
          <w:rStyle w:val="Hyperlink"/>
        </w:rPr>
        <w:t>.</w:t>
      </w:r>
    </w:p>
    <w:p w14:paraId="0EA97362" w14:textId="77777777" w:rsidR="00EE3628" w:rsidRDefault="00EE3628" w:rsidP="002F3CAA">
      <w:pPr>
        <w:spacing w:line="276" w:lineRule="auto"/>
      </w:pPr>
    </w:p>
    <w:p w14:paraId="61AB3217" w14:textId="2C4E8478" w:rsidR="00186556" w:rsidRDefault="00186556" w:rsidP="002F3CAA">
      <w:pPr>
        <w:spacing w:line="276" w:lineRule="auto"/>
      </w:pPr>
      <w:r>
        <w:t>T</w:t>
      </w:r>
      <w:r w:rsidR="00544230">
        <w:t xml:space="preserve">ranslations </w:t>
      </w:r>
      <w:r w:rsidR="008A686E">
        <w:t xml:space="preserve">of the Final Report have been requested in all the other official languages of the United Nations as well as in Portuguese. </w:t>
      </w:r>
    </w:p>
    <w:p w14:paraId="6296AD86" w14:textId="77777777" w:rsidR="0076156E" w:rsidRPr="00E1209D" w:rsidRDefault="0076156E" w:rsidP="002F3CAA">
      <w:pPr>
        <w:spacing w:line="276" w:lineRule="auto"/>
        <w:ind w:left="1440"/>
        <w:rPr>
          <w:color w:val="000000" w:themeColor="text1"/>
          <w:szCs w:val="22"/>
        </w:rPr>
      </w:pPr>
    </w:p>
    <w:p w14:paraId="498BCCB0" w14:textId="77777777" w:rsidR="004F4EB4" w:rsidRDefault="004F4EB4" w:rsidP="002F3CAA">
      <w:pPr>
        <w:spacing w:line="276" w:lineRule="auto"/>
      </w:pPr>
    </w:p>
    <w:p w14:paraId="13386211" w14:textId="77777777" w:rsidR="004F4EB4" w:rsidRPr="00BB7162" w:rsidRDefault="00BB7162" w:rsidP="002F3CAA">
      <w:pPr>
        <w:spacing w:line="276" w:lineRule="auto"/>
        <w:rPr>
          <w:b/>
        </w:rPr>
      </w:pPr>
      <w:r>
        <w:rPr>
          <w:b/>
        </w:rPr>
        <w:t xml:space="preserve">7. </w:t>
      </w:r>
      <w:r w:rsidR="00C676EB" w:rsidRPr="00BB7162">
        <w:rPr>
          <w:b/>
        </w:rPr>
        <w:t xml:space="preserve">A copy of the minutes of the Council deliberation on the policy issue, including all </w:t>
      </w:r>
      <w:r w:rsidR="00186556" w:rsidRPr="00BB7162">
        <w:rPr>
          <w:b/>
        </w:rPr>
        <w:t>opinions</w:t>
      </w:r>
      <w:r w:rsidR="00C676EB" w:rsidRPr="00BB7162">
        <w:rPr>
          <w:b/>
        </w:rPr>
        <w:t xml:space="preserve"> expressed during such deliberation, accompanied by a description of who expressed such opinions. </w:t>
      </w:r>
    </w:p>
    <w:p w14:paraId="7516EFC1" w14:textId="77777777" w:rsidR="005C2080" w:rsidRDefault="005C2080" w:rsidP="002F3CAA">
      <w:pPr>
        <w:spacing w:line="276" w:lineRule="auto"/>
      </w:pPr>
    </w:p>
    <w:p w14:paraId="0BF8A731" w14:textId="1195F1D1" w:rsidR="00A062A7" w:rsidRDefault="00765D60" w:rsidP="002F3CAA">
      <w:pPr>
        <w:spacing w:line="276" w:lineRule="auto"/>
      </w:pPr>
      <w:r>
        <w:t>Please refer to</w:t>
      </w:r>
      <w:r w:rsidR="00A062A7" w:rsidRPr="00A062A7">
        <w:t xml:space="preserve"> </w:t>
      </w:r>
      <w:r>
        <w:t xml:space="preserve">the GNSO Council’s resolution adopting the final recommendations from the PDP Working Group at </w:t>
      </w:r>
      <w:hyperlink r:id="rId14" w:anchor="201601" w:history="1">
        <w:r w:rsidRPr="00714D72">
          <w:rPr>
            <w:rStyle w:val="Hyperlink"/>
          </w:rPr>
          <w:t>http://gnso.icann.org/en/council/resolutions#201601</w:t>
        </w:r>
      </w:hyperlink>
      <w:r>
        <w:t xml:space="preserve"> as well as the transcript and minutes from that Council meeting, at </w:t>
      </w:r>
      <w:hyperlink r:id="rId15" w:history="1">
        <w:r w:rsidR="00DD69AA" w:rsidRPr="002E741D">
          <w:rPr>
            <w:rStyle w:val="Hyperlink"/>
          </w:rPr>
          <w:t>http://gnso.icann.org/en/meetings/transcript-council-21jan16-en.pdf</w:t>
        </w:r>
      </w:hyperlink>
      <w:r w:rsidR="00DD69AA">
        <w:t xml:space="preserve"> </w:t>
      </w:r>
      <w:r>
        <w:t xml:space="preserve">and </w:t>
      </w:r>
      <w:hyperlink r:id="rId16" w:history="1">
        <w:r w:rsidR="002F3CAA" w:rsidRPr="004C1994">
          <w:rPr>
            <w:rStyle w:val="Hyperlink"/>
          </w:rPr>
          <w:t>http://gnso.icann.org/en/meetings/minutes-council-21jan16-en.htm</w:t>
        </w:r>
      </w:hyperlink>
      <w:r w:rsidR="002F3CAA">
        <w:t xml:space="preserve"> </w:t>
      </w:r>
      <w:r>
        <w:t>respectively.</w:t>
      </w:r>
      <w:r w:rsidR="002F3CAA">
        <w:t xml:space="preserve"> </w:t>
      </w:r>
      <w:r>
        <w:t xml:space="preserve"> </w:t>
      </w:r>
    </w:p>
    <w:p w14:paraId="7F423F8C" w14:textId="77777777" w:rsidR="003F5B02" w:rsidRDefault="003F5B02" w:rsidP="002F3CAA">
      <w:pPr>
        <w:spacing w:line="276" w:lineRule="auto"/>
      </w:pPr>
    </w:p>
    <w:p w14:paraId="4A8A85BF" w14:textId="77777777" w:rsidR="002F3CAA" w:rsidRDefault="002F3CAA" w:rsidP="002F3CAA">
      <w:pPr>
        <w:spacing w:line="276" w:lineRule="auto"/>
      </w:pPr>
    </w:p>
    <w:p w14:paraId="2B8CC8C9" w14:textId="77777777" w:rsidR="00BB7162" w:rsidRPr="009A641F" w:rsidRDefault="00BB7162" w:rsidP="002F3CAA">
      <w:pPr>
        <w:spacing w:line="276" w:lineRule="auto"/>
        <w:rPr>
          <w:b/>
        </w:rPr>
      </w:pPr>
      <w:r w:rsidRPr="009A641F">
        <w:rPr>
          <w:b/>
        </w:rPr>
        <w:t>8. Consultations undertaken</w:t>
      </w:r>
    </w:p>
    <w:p w14:paraId="52FF8249" w14:textId="77777777" w:rsidR="00BB7162" w:rsidRDefault="00BB7162" w:rsidP="002F3CAA">
      <w:pPr>
        <w:spacing w:line="276" w:lineRule="auto"/>
      </w:pPr>
    </w:p>
    <w:p w14:paraId="2F361E5C" w14:textId="77777777" w:rsidR="003E1A60" w:rsidRPr="003E1A60" w:rsidRDefault="003E1A60" w:rsidP="002F3CAA">
      <w:pPr>
        <w:spacing w:line="276" w:lineRule="auto"/>
        <w:rPr>
          <w:i/>
        </w:rPr>
      </w:pPr>
      <w:r w:rsidRPr="003E1A60">
        <w:rPr>
          <w:i/>
        </w:rPr>
        <w:t xml:space="preserve">External </w:t>
      </w:r>
    </w:p>
    <w:p w14:paraId="4A378238" w14:textId="2D85AF78" w:rsidR="003E4BA1" w:rsidRDefault="00765D60" w:rsidP="002F3CAA">
      <w:pPr>
        <w:spacing w:line="276" w:lineRule="auto"/>
      </w:pPr>
      <w:r>
        <w:t>As mandated by the GNSO’s PDP Manual, the Working Group</w:t>
      </w:r>
      <w:r w:rsidR="008A0941">
        <w:t xml:space="preserve"> reached out </w:t>
      </w:r>
      <w:r>
        <w:t xml:space="preserve">shortly after its initiation </w:t>
      </w:r>
      <w:r w:rsidR="008A0941">
        <w:t xml:space="preserve">to ICANN’s </w:t>
      </w:r>
      <w:r w:rsidR="009A641F">
        <w:t>Supporting</w:t>
      </w:r>
      <w:r w:rsidR="008A0941">
        <w:t xml:space="preserve"> </w:t>
      </w:r>
      <w:r w:rsidR="009A641F">
        <w:t>Organizations</w:t>
      </w:r>
      <w:r w:rsidR="008A0941">
        <w:t xml:space="preserve"> and </w:t>
      </w:r>
      <w:r w:rsidR="009A641F">
        <w:t>Advisory</w:t>
      </w:r>
      <w:r w:rsidR="008A0941">
        <w:t xml:space="preserve"> Committees as well as the GNSO’s Stakeholder Groups and Constituencies to seek </w:t>
      </w:r>
      <w:r>
        <w:t xml:space="preserve">their </w:t>
      </w:r>
      <w:r w:rsidR="008A0941">
        <w:t xml:space="preserve">input on the Charter questions. </w:t>
      </w:r>
      <w:r w:rsidR="003E1A60">
        <w:t>See</w:t>
      </w:r>
      <w:r w:rsidR="00F4102F">
        <w:t xml:space="preserve"> </w:t>
      </w:r>
      <w:hyperlink r:id="rId17" w:history="1">
        <w:r w:rsidR="00F4102F" w:rsidRPr="002E741D">
          <w:rPr>
            <w:rStyle w:val="Hyperlink"/>
          </w:rPr>
          <w:t>https://community.icann.org/x/SRzRAg</w:t>
        </w:r>
      </w:hyperlink>
      <w:r w:rsidR="00F4102F">
        <w:t xml:space="preserve"> for all the responses received (these were from the Business Constituency, the Intellectual Property Constituency, the Internet Service Providers &amp; Connectivity Providers Constituency, the Non-Commercial Stakeholder Group and the At Large Advisory Committee).</w:t>
      </w:r>
    </w:p>
    <w:p w14:paraId="4E8B6D2B" w14:textId="77777777" w:rsidR="00AE7296" w:rsidRDefault="00AE7296" w:rsidP="002F3CAA">
      <w:pPr>
        <w:spacing w:line="276" w:lineRule="auto"/>
      </w:pPr>
    </w:p>
    <w:p w14:paraId="55E7E7C2" w14:textId="22E43911" w:rsidR="003E4BA1" w:rsidRDefault="00765D60" w:rsidP="002F3CAA">
      <w:pPr>
        <w:spacing w:line="276" w:lineRule="auto"/>
      </w:pPr>
      <w:r>
        <w:t>Also i</w:t>
      </w:r>
      <w:r w:rsidR="003E4BA1">
        <w:t xml:space="preserve">n line with the PDP Manual, the </w:t>
      </w:r>
      <w:r>
        <w:t xml:space="preserve">Working Group’s </w:t>
      </w:r>
      <w:r w:rsidR="003E4BA1">
        <w:t>Initial Report was published for pu</w:t>
      </w:r>
      <w:r w:rsidR="007D4839">
        <w:t>b</w:t>
      </w:r>
      <w:r w:rsidR="003E4BA1">
        <w:t xml:space="preserve">lic comment following its release on </w:t>
      </w:r>
      <w:r>
        <w:t>5 May 2015</w:t>
      </w:r>
      <w:r w:rsidR="00F4102F">
        <w:t xml:space="preserve"> (</w:t>
      </w:r>
      <w:r w:rsidR="003E4BA1">
        <w:t>see</w:t>
      </w:r>
      <w:r>
        <w:t>:</w:t>
      </w:r>
      <w:r w:rsidR="00EE3628">
        <w:t xml:space="preserve"> </w:t>
      </w:r>
      <w:hyperlink r:id="rId18" w:history="1">
        <w:r w:rsidR="00F4102F" w:rsidRPr="002E741D">
          <w:rPr>
            <w:rStyle w:val="Hyperlink"/>
          </w:rPr>
          <w:t>https://www.icann.org/public-comments/ppsai-initial-2015-05-05-en</w:t>
        </w:r>
      </w:hyperlink>
      <w:r w:rsidR="00F4102F">
        <w:t xml:space="preserve">). </w:t>
      </w:r>
      <w:r>
        <w:t>All the public comments received were compiled into a uniform Public Comment Review Tool and reviewed by the Working Group</w:t>
      </w:r>
      <w:r w:rsidR="00F4102F">
        <w:t xml:space="preserve"> (see </w:t>
      </w:r>
      <w:hyperlink r:id="rId19" w:history="1">
        <w:r w:rsidR="00F4102F" w:rsidRPr="002E741D">
          <w:rPr>
            <w:rStyle w:val="Hyperlink"/>
          </w:rPr>
          <w:t>https://community.icann.org/x/KIFCAw)</w:t>
        </w:r>
      </w:hyperlink>
      <w:r w:rsidR="00F4102F">
        <w:t xml:space="preserve">. </w:t>
      </w:r>
      <w:r w:rsidRPr="00765D60">
        <w:t>Due to the unusually large volume of comments received (including over 11,000 public comments and almost 150 survey responses), the W</w:t>
      </w:r>
      <w:r>
        <w:t xml:space="preserve">orking </w:t>
      </w:r>
      <w:r w:rsidRPr="00765D60">
        <w:t>G</w:t>
      </w:r>
      <w:r>
        <w:t>roup</w:t>
      </w:r>
      <w:r w:rsidRPr="00765D60">
        <w:t xml:space="preserve"> </w:t>
      </w:r>
      <w:r w:rsidR="00F4102F">
        <w:t>created four Sub Teams to review the comments</w:t>
      </w:r>
      <w:r w:rsidR="008A686E">
        <w:t>,</w:t>
      </w:r>
      <w:r w:rsidR="00F4102F">
        <w:t xml:space="preserve"> and </w:t>
      </w:r>
      <w:r w:rsidRPr="00765D60">
        <w:t xml:space="preserve">extended its timeline to </w:t>
      </w:r>
      <w:r>
        <w:t xml:space="preserve">ensure that it could </w:t>
      </w:r>
      <w:r w:rsidRPr="00765D60">
        <w:t>carefully and thoroughly consider all the input received.</w:t>
      </w:r>
    </w:p>
    <w:p w14:paraId="32B63EB6" w14:textId="77777777" w:rsidR="003E4BA1" w:rsidRDefault="003E4BA1" w:rsidP="002F3CAA">
      <w:pPr>
        <w:spacing w:line="276" w:lineRule="auto"/>
      </w:pPr>
    </w:p>
    <w:p w14:paraId="1490AAD4" w14:textId="31B5A315" w:rsidR="00C66295" w:rsidRDefault="00765D60" w:rsidP="002F3CAA">
      <w:pPr>
        <w:spacing w:line="276" w:lineRule="auto"/>
      </w:pPr>
      <w:r>
        <w:lastRenderedPageBreak/>
        <w:t>In addition, t</w:t>
      </w:r>
      <w:r w:rsidR="00C70D4E">
        <w:t xml:space="preserve">he Working Group </w:t>
      </w:r>
      <w:r>
        <w:t>held two face-to-face meetings immediately prior to the ICANN meetings in Los Angeles (</w:t>
      </w:r>
      <w:r w:rsidR="00F62CB9">
        <w:t xml:space="preserve">on 10 </w:t>
      </w:r>
      <w:r>
        <w:t>October 2014) and Dublin (</w:t>
      </w:r>
      <w:r w:rsidR="00F62CB9">
        <w:t xml:space="preserve">on 16 </w:t>
      </w:r>
      <w:r>
        <w:t xml:space="preserve">October 2015). It also conducted open community sessions during all ICANN meetings held between the launch of the Working Group and the completion of its Final Report. </w:t>
      </w:r>
      <w:r w:rsidR="00FD7718">
        <w:t>Transcripts</w:t>
      </w:r>
      <w:r w:rsidR="00F62CB9">
        <w:t>, documents</w:t>
      </w:r>
      <w:r w:rsidR="00FD7718">
        <w:t xml:space="preserve"> </w:t>
      </w:r>
      <w:r w:rsidR="00F62CB9">
        <w:t>and recordings from</w:t>
      </w:r>
      <w:r>
        <w:t xml:space="preserve"> the </w:t>
      </w:r>
      <w:r w:rsidR="00F62CB9">
        <w:t xml:space="preserve">two </w:t>
      </w:r>
      <w:r>
        <w:t>Working Group</w:t>
      </w:r>
      <w:r w:rsidR="00F62CB9">
        <w:t xml:space="preserve"> face-to-face</w:t>
      </w:r>
      <w:r>
        <w:t xml:space="preserve"> meetings </w:t>
      </w:r>
      <w:r w:rsidR="00FD7718">
        <w:t>can be found here:</w:t>
      </w:r>
      <w:r w:rsidR="00EE3628">
        <w:t xml:space="preserve"> </w:t>
      </w:r>
      <w:hyperlink r:id="rId20" w:history="1">
        <w:r w:rsidR="00F62CB9" w:rsidRPr="002E741D">
          <w:rPr>
            <w:rStyle w:val="Hyperlink"/>
          </w:rPr>
          <w:t>https://community.icann.org/x/AiHxAg</w:t>
        </w:r>
      </w:hyperlink>
      <w:r w:rsidR="00F62CB9">
        <w:t xml:space="preserve"> (Los Angeles) and </w:t>
      </w:r>
      <w:hyperlink r:id="rId21" w:history="1">
        <w:r w:rsidR="00F62CB9" w:rsidRPr="002E741D">
          <w:rPr>
            <w:rStyle w:val="Hyperlink"/>
          </w:rPr>
          <w:t>https://community.icann.org/x/uaxYAw</w:t>
        </w:r>
      </w:hyperlink>
      <w:r w:rsidR="00F62CB9">
        <w:t xml:space="preserve"> (Dublin). </w:t>
      </w:r>
      <w:r w:rsidR="008A686E">
        <w:t xml:space="preserve">Transcripts and recordings of all Working Group meetings can be found on the Working Group wiki space at: </w:t>
      </w:r>
      <w:hyperlink r:id="rId22" w:history="1">
        <w:r w:rsidR="008A686E" w:rsidRPr="004C1994">
          <w:rPr>
            <w:rStyle w:val="Hyperlink"/>
          </w:rPr>
          <w:t>https://community.icann.org/x/9iCfAg</w:t>
        </w:r>
      </w:hyperlink>
      <w:r w:rsidR="008A686E">
        <w:t xml:space="preserve">. </w:t>
      </w:r>
    </w:p>
    <w:p w14:paraId="64139E41" w14:textId="77777777" w:rsidR="009A641F" w:rsidRDefault="009A641F" w:rsidP="002F3CAA">
      <w:pPr>
        <w:spacing w:line="276" w:lineRule="auto"/>
      </w:pPr>
    </w:p>
    <w:p w14:paraId="40A43BF7" w14:textId="406A90AE" w:rsidR="003E1A60" w:rsidRPr="002F3CAA" w:rsidRDefault="003E1A60" w:rsidP="002F3CAA">
      <w:pPr>
        <w:spacing w:line="276" w:lineRule="auto"/>
        <w:rPr>
          <w:i/>
        </w:rPr>
      </w:pPr>
      <w:r w:rsidRPr="003E1A60">
        <w:rPr>
          <w:i/>
        </w:rPr>
        <w:t>Internal</w:t>
      </w:r>
    </w:p>
    <w:p w14:paraId="66DA625E" w14:textId="4C9EAF20" w:rsidR="00842F13" w:rsidRDefault="003E1A60" w:rsidP="002F3CAA">
      <w:pPr>
        <w:spacing w:line="276" w:lineRule="auto"/>
      </w:pPr>
      <w:r>
        <w:t xml:space="preserve">Regular updates were provided </w:t>
      </w:r>
      <w:r w:rsidR="005D6206">
        <w:t>to the PDP Working Group by</w:t>
      </w:r>
      <w:r>
        <w:t xml:space="preserve"> ICANN</w:t>
      </w:r>
      <w:r w:rsidR="005D6206">
        <w:t>’s</w:t>
      </w:r>
      <w:r>
        <w:t xml:space="preserve"> </w:t>
      </w:r>
      <w:r w:rsidR="00186556">
        <w:t xml:space="preserve">Contractual </w:t>
      </w:r>
      <w:r>
        <w:t>Compliance</w:t>
      </w:r>
      <w:r w:rsidR="005D6206">
        <w:t xml:space="preserve"> and</w:t>
      </w:r>
      <w:r>
        <w:t xml:space="preserve"> </w:t>
      </w:r>
      <w:r w:rsidR="00EC3305">
        <w:t xml:space="preserve">Registrar </w:t>
      </w:r>
      <w:r w:rsidR="00A47B0D">
        <w:t>Services t</w:t>
      </w:r>
      <w:r w:rsidR="00F64358">
        <w:t>eam</w:t>
      </w:r>
      <w:r w:rsidR="005D6206">
        <w:t>s</w:t>
      </w:r>
      <w:r>
        <w:t xml:space="preserve">. </w:t>
      </w:r>
      <w:r w:rsidR="005D6206">
        <w:t>Some of these</w:t>
      </w:r>
      <w:r w:rsidR="00E4377F">
        <w:t xml:space="preserve"> team members attended W</w:t>
      </w:r>
      <w:r w:rsidR="005D6206">
        <w:t xml:space="preserve">orking </w:t>
      </w:r>
      <w:r w:rsidR="00E4377F">
        <w:t>G</w:t>
      </w:r>
      <w:r w:rsidR="005D6206">
        <w:t>roup</w:t>
      </w:r>
      <w:r w:rsidR="00E4377F">
        <w:t xml:space="preserve"> calls on a regular basis and joined the Group for their </w:t>
      </w:r>
      <w:r w:rsidR="00F62CB9">
        <w:t xml:space="preserve">two </w:t>
      </w:r>
      <w:r w:rsidR="00E4377F">
        <w:t xml:space="preserve">face-to-face meetings. </w:t>
      </w:r>
      <w:r w:rsidR="008C6016">
        <w:t>The</w:t>
      </w:r>
      <w:r w:rsidR="005D6206">
        <w:t xml:space="preserve"> implementation</w:t>
      </w:r>
      <w:r w:rsidR="008C6016">
        <w:t xml:space="preserve"> </w:t>
      </w:r>
      <w:r w:rsidR="005D6206">
        <w:t xml:space="preserve">advice and overall </w:t>
      </w:r>
      <w:r w:rsidR="008C6016">
        <w:t xml:space="preserve">feedback </w:t>
      </w:r>
      <w:r w:rsidR="005D6206">
        <w:t xml:space="preserve">provided by these staff members </w:t>
      </w:r>
      <w:r w:rsidR="008C6016">
        <w:t xml:space="preserve">was </w:t>
      </w:r>
      <w:r w:rsidR="00F62CB9">
        <w:t xml:space="preserve">very helpful </w:t>
      </w:r>
      <w:r w:rsidR="00186556">
        <w:t xml:space="preserve">in </w:t>
      </w:r>
      <w:r w:rsidR="00F62CB9">
        <w:t xml:space="preserve">facilitating </w:t>
      </w:r>
      <w:r w:rsidR="008C6016">
        <w:t xml:space="preserve">consensus formation among </w:t>
      </w:r>
      <w:r w:rsidR="00765D60">
        <w:t>the Working Group, especially in relation to questions regarding the workings of the registrar accreditation process, ICANN’s practice in handling complaints from registrants, and possible implementation considerations</w:t>
      </w:r>
      <w:r w:rsidR="008C6016">
        <w:t>.</w:t>
      </w:r>
    </w:p>
    <w:p w14:paraId="62FC9646" w14:textId="77777777" w:rsidR="00AE7296" w:rsidRDefault="00AE7296" w:rsidP="002F3CAA">
      <w:pPr>
        <w:spacing w:line="276" w:lineRule="auto"/>
      </w:pPr>
    </w:p>
    <w:p w14:paraId="533D2E10" w14:textId="77777777" w:rsidR="002F3CAA" w:rsidRDefault="002F3CAA" w:rsidP="002F3CAA">
      <w:pPr>
        <w:spacing w:line="276" w:lineRule="auto"/>
      </w:pPr>
    </w:p>
    <w:p w14:paraId="0F1DEB60" w14:textId="6146E9D6" w:rsidR="00842F13" w:rsidRPr="00297E87" w:rsidRDefault="00EF7946" w:rsidP="002F3CAA">
      <w:pPr>
        <w:spacing w:line="276" w:lineRule="auto"/>
        <w:rPr>
          <w:b/>
        </w:rPr>
      </w:pPr>
      <w:r w:rsidRPr="00297E87">
        <w:rPr>
          <w:b/>
        </w:rPr>
        <w:t xml:space="preserve">9. </w:t>
      </w:r>
      <w:r w:rsidR="00CF72D4" w:rsidRPr="00297E87">
        <w:rPr>
          <w:b/>
        </w:rPr>
        <w:t xml:space="preserve">Summary and </w:t>
      </w:r>
      <w:r w:rsidR="00765D60">
        <w:rPr>
          <w:b/>
        </w:rPr>
        <w:t>a</w:t>
      </w:r>
      <w:r w:rsidR="00CF72D4" w:rsidRPr="00297E87">
        <w:rPr>
          <w:b/>
        </w:rPr>
        <w:t xml:space="preserve">nalysis of Public Comment Forum to provide input on the </w:t>
      </w:r>
      <w:r w:rsidR="00765D60">
        <w:rPr>
          <w:b/>
        </w:rPr>
        <w:t xml:space="preserve">Privacy and Proxy Services Accreditation Issues PDP </w:t>
      </w:r>
      <w:r w:rsidR="00C74639" w:rsidRPr="00297E87">
        <w:rPr>
          <w:b/>
        </w:rPr>
        <w:t xml:space="preserve">Recommendations, </w:t>
      </w:r>
      <w:r w:rsidR="00765D60">
        <w:rPr>
          <w:b/>
        </w:rPr>
        <w:t xml:space="preserve">as </w:t>
      </w:r>
      <w:r w:rsidR="00C74639" w:rsidRPr="00297E87">
        <w:rPr>
          <w:b/>
        </w:rPr>
        <w:t xml:space="preserve">adopted by the GNSO </w:t>
      </w:r>
      <w:r w:rsidR="001B22DD" w:rsidRPr="00297E87">
        <w:rPr>
          <w:b/>
        </w:rPr>
        <w:t>Council prior to ICANN Board consideration</w:t>
      </w:r>
      <w:r w:rsidR="00057012" w:rsidRPr="00297E87">
        <w:rPr>
          <w:b/>
        </w:rPr>
        <w:t>.</w:t>
      </w:r>
    </w:p>
    <w:p w14:paraId="09DB8397" w14:textId="77777777" w:rsidR="00057012" w:rsidRDefault="00057012" w:rsidP="002F3CAA">
      <w:pPr>
        <w:spacing w:line="276" w:lineRule="auto"/>
      </w:pPr>
    </w:p>
    <w:p w14:paraId="4553F6CC" w14:textId="225F6379" w:rsidR="006F3E69" w:rsidRDefault="00D04A92" w:rsidP="002F3CAA">
      <w:pPr>
        <w:spacing w:line="276" w:lineRule="auto"/>
      </w:pPr>
      <w:r>
        <w:t xml:space="preserve">A public comment forum was opened on </w:t>
      </w:r>
      <w:r w:rsidR="008A686E">
        <w:t>5 February 2016</w:t>
      </w:r>
      <w:r w:rsidR="008A686E">
        <w:t xml:space="preserve"> </w:t>
      </w:r>
      <w:r>
        <w:t xml:space="preserve">to solicit feedback on the recommendations prior to </w:t>
      </w:r>
      <w:r w:rsidR="00186556">
        <w:t xml:space="preserve">ICANN </w:t>
      </w:r>
      <w:r>
        <w:t>Board consideration</w:t>
      </w:r>
      <w:r w:rsidR="008A686E">
        <w:t xml:space="preserve">: </w:t>
      </w:r>
      <w:r>
        <w:t xml:space="preserve"> </w:t>
      </w:r>
      <w:hyperlink r:id="rId23" w:history="1">
        <w:r w:rsidR="008A686E" w:rsidRPr="004C1994">
          <w:rPr>
            <w:rStyle w:val="Hyperlink"/>
          </w:rPr>
          <w:t>https://www.icann.org/public-comments/ppsai-recommendations-2016-02-05-en</w:t>
        </w:r>
      </w:hyperlink>
      <w:r w:rsidR="008A686E">
        <w:t xml:space="preserve">. </w:t>
      </w:r>
    </w:p>
    <w:p w14:paraId="15010D08" w14:textId="77777777" w:rsidR="00765D60" w:rsidRDefault="00765D60" w:rsidP="002F3CAA">
      <w:pPr>
        <w:pStyle w:val="HTMLPreformatted"/>
        <w:shd w:val="clear" w:color="auto" w:fill="FFFFFF"/>
        <w:spacing w:line="276" w:lineRule="auto"/>
        <w:rPr>
          <w:rFonts w:ascii="Calibri" w:hAnsi="Calibri" w:cstheme="minorBidi"/>
          <w:sz w:val="22"/>
          <w:szCs w:val="24"/>
          <w:lang w:val="en-US"/>
        </w:rPr>
      </w:pPr>
    </w:p>
    <w:p w14:paraId="412FB9C4" w14:textId="5FC61817" w:rsidR="00123E31" w:rsidRPr="00EB0A9F" w:rsidRDefault="008A686E" w:rsidP="002F3CAA">
      <w:pPr>
        <w:pStyle w:val="HTMLPreformatted"/>
        <w:shd w:val="clear" w:color="auto" w:fill="FFFFFF"/>
        <w:spacing w:line="276" w:lineRule="auto"/>
        <w:rPr>
          <w:rFonts w:ascii="Calibri" w:hAnsi="Calibri" w:cstheme="minorBidi"/>
          <w:sz w:val="22"/>
          <w:szCs w:val="24"/>
          <w:lang w:val="en-US"/>
        </w:rPr>
      </w:pPr>
      <w:r>
        <w:rPr>
          <w:rFonts w:ascii="Calibri" w:hAnsi="Calibri" w:cstheme="minorBidi"/>
          <w:sz w:val="22"/>
          <w:szCs w:val="24"/>
          <w:lang w:val="en-US"/>
        </w:rPr>
        <w:t>Following the close of the public comment period on 16 March 2016,</w:t>
      </w:r>
      <w:r w:rsidR="00D04A92" w:rsidRPr="00EB0A9F">
        <w:rPr>
          <w:rFonts w:ascii="Calibri" w:hAnsi="Calibri" w:cstheme="minorBidi"/>
          <w:sz w:val="22"/>
          <w:szCs w:val="24"/>
          <w:lang w:val="en-US"/>
        </w:rPr>
        <w:t xml:space="preserve"> </w:t>
      </w:r>
      <w:r>
        <w:rPr>
          <w:rFonts w:ascii="Calibri" w:hAnsi="Calibri" w:cstheme="minorBidi"/>
          <w:sz w:val="22"/>
          <w:szCs w:val="24"/>
          <w:lang w:val="en-US"/>
        </w:rPr>
        <w:t xml:space="preserve">a </w:t>
      </w:r>
      <w:r w:rsidR="00D04A92" w:rsidRPr="00EB0A9F">
        <w:rPr>
          <w:rFonts w:ascii="Calibri" w:hAnsi="Calibri" w:cstheme="minorBidi"/>
          <w:sz w:val="22"/>
          <w:szCs w:val="24"/>
          <w:lang w:val="en-US"/>
        </w:rPr>
        <w:t>Report of Public Comments</w:t>
      </w:r>
      <w:r>
        <w:rPr>
          <w:rFonts w:ascii="Calibri" w:hAnsi="Calibri" w:cstheme="minorBidi"/>
          <w:sz w:val="22"/>
          <w:szCs w:val="24"/>
          <w:lang w:val="en-US"/>
        </w:rPr>
        <w:t xml:space="preserve"> will be prepared and published.</w:t>
      </w:r>
    </w:p>
    <w:p w14:paraId="2C562B49" w14:textId="77777777" w:rsidR="00751704" w:rsidRDefault="00751704" w:rsidP="002F3CAA">
      <w:pPr>
        <w:spacing w:line="276" w:lineRule="auto"/>
      </w:pPr>
    </w:p>
    <w:p w14:paraId="6D1D0742" w14:textId="77777777" w:rsidR="002F3CAA" w:rsidRDefault="002F3CAA" w:rsidP="002F3CAA">
      <w:pPr>
        <w:spacing w:line="276" w:lineRule="auto"/>
      </w:pPr>
    </w:p>
    <w:p w14:paraId="00C7598E" w14:textId="249CC713" w:rsidR="00D04A92" w:rsidRDefault="00B06681" w:rsidP="002F3CAA">
      <w:pPr>
        <w:spacing w:line="276" w:lineRule="auto"/>
        <w:rPr>
          <w:b/>
        </w:rPr>
      </w:pPr>
      <w:r w:rsidRPr="00B06681">
        <w:rPr>
          <w:b/>
        </w:rPr>
        <w:t>10. Impact/</w:t>
      </w:r>
      <w:r w:rsidR="00765D60">
        <w:rPr>
          <w:b/>
        </w:rPr>
        <w:t>i</w:t>
      </w:r>
      <w:r w:rsidRPr="00B06681">
        <w:rPr>
          <w:b/>
        </w:rPr>
        <w:t xml:space="preserve">mplementation </w:t>
      </w:r>
      <w:r w:rsidR="00765D60">
        <w:rPr>
          <w:b/>
        </w:rPr>
        <w:t>considerations from ICANN s</w:t>
      </w:r>
      <w:r w:rsidRPr="00B06681">
        <w:rPr>
          <w:b/>
        </w:rPr>
        <w:t>taff</w:t>
      </w:r>
    </w:p>
    <w:p w14:paraId="353F7EEC" w14:textId="77777777" w:rsidR="003F0CA0" w:rsidRDefault="003F0CA0" w:rsidP="002F3CAA">
      <w:pPr>
        <w:spacing w:line="276" w:lineRule="auto"/>
        <w:rPr>
          <w:b/>
        </w:rPr>
      </w:pPr>
    </w:p>
    <w:p w14:paraId="00A1BFF0" w14:textId="5A837B5C" w:rsidR="006D49AE" w:rsidRDefault="006D49AE" w:rsidP="002F3CAA">
      <w:pPr>
        <w:spacing w:line="276" w:lineRule="auto"/>
      </w:pPr>
      <w:r>
        <w:t xml:space="preserve">Implementation of the </w:t>
      </w:r>
      <w:r w:rsidR="002F3CAA">
        <w:t>f</w:t>
      </w:r>
      <w:r>
        <w:t xml:space="preserve">inal </w:t>
      </w:r>
      <w:r w:rsidR="002F3CAA">
        <w:t>r</w:t>
      </w:r>
      <w:r>
        <w:t xml:space="preserve">ecommendations from the </w:t>
      </w:r>
      <w:r w:rsidR="002F3CAA">
        <w:t>PPSAI</w:t>
      </w:r>
      <w:r>
        <w:t xml:space="preserve"> PDP Working Group will require significant ICANN staff resources.  Implementation of this accreditation program will likely include, at a minimum, the development of privacy/proxy accreditation application, screening, data escrow, contracting, and Contractual Compliance procedures and requirements. Implementation will also require resolution of complicated practical issues related to Working Group recommendations surrounding </w:t>
      </w:r>
      <w:proofErr w:type="spellStart"/>
      <w:r>
        <w:t>Whois</w:t>
      </w:r>
      <w:proofErr w:type="spellEnd"/>
      <w:r>
        <w:t xml:space="preserve"> </w:t>
      </w:r>
      <w:r w:rsidR="002F3CAA">
        <w:t>disclosure</w:t>
      </w:r>
      <w:r>
        <w:t>; the transfer of privacy/proxy-registered domains between accredited privacy/proxy services and ICANN-accredited registrars; and de-accreditation of privacy and/or proxy services.</w:t>
      </w:r>
    </w:p>
    <w:p w14:paraId="584D08CB" w14:textId="77777777" w:rsidR="006D49AE" w:rsidRDefault="006D49AE" w:rsidP="002F3CAA">
      <w:pPr>
        <w:spacing w:line="276" w:lineRule="auto"/>
      </w:pPr>
    </w:p>
    <w:p w14:paraId="1E572CD7" w14:textId="5184B48D" w:rsidR="006D49AE" w:rsidRDefault="006D49AE" w:rsidP="002F3CAA">
      <w:pPr>
        <w:spacing w:line="276" w:lineRule="auto"/>
      </w:pPr>
      <w:r>
        <w:t xml:space="preserve">The interim RAA Specification on Privacy and Proxy Registrations, which will expire when this accreditation program goes into effect (provided the Specification is extended as noted in </w:t>
      </w:r>
      <w:r>
        <w:lastRenderedPageBreak/>
        <w:t xml:space="preserve">Section 4, above) links all of its requirements to registrar contractual obligations. Though some </w:t>
      </w:r>
      <w:r w:rsidR="002F3CAA">
        <w:t>p</w:t>
      </w:r>
      <w:r>
        <w:t>olicy requirements</w:t>
      </w:r>
      <w:r w:rsidR="002F3CAA">
        <w:t xml:space="preserve"> to such obligations</w:t>
      </w:r>
      <w:r>
        <w:t xml:space="preserve"> will be added during this implementation, Staff expects that most privacy and proxy services will continue to be affiliated with ICANN-accredited registrars (meaning, they share common ownership and management) following the implementation of this accreditation program. As a result, Staff expects that these relationships could continue much as they do today after the new accreditation program is implemented, albeit with new </w:t>
      </w:r>
      <w:r w:rsidR="002F3CAA">
        <w:t>p</w:t>
      </w:r>
      <w:r>
        <w:t>olicy requirements.</w:t>
      </w:r>
    </w:p>
    <w:p w14:paraId="115FF1ED" w14:textId="77777777" w:rsidR="006D49AE" w:rsidRDefault="006D49AE" w:rsidP="002F3CAA">
      <w:pPr>
        <w:spacing w:line="276" w:lineRule="auto"/>
      </w:pPr>
    </w:p>
    <w:p w14:paraId="16D05784" w14:textId="28D0BEF5" w:rsidR="00354ECF" w:rsidRPr="002F3CAA" w:rsidRDefault="006D49AE" w:rsidP="002F3CAA">
      <w:pPr>
        <w:spacing w:line="276" w:lineRule="auto"/>
      </w:pPr>
      <w:r>
        <w:t>However, the WG directed that access to privacy/proxy accreditation should not be limited to entities that are affiliated with ICANN-accredited registrars. As a result, implementation may require the creation of a beginning-to-end accreditation program for entities who do not currently have either a direct or indirect relationship with ICANN. This element of the accreditation program will be more complicated to implement and operate.</w:t>
      </w:r>
    </w:p>
    <w:p w14:paraId="68A8B776" w14:textId="6B0F71B8" w:rsidR="00B018A5" w:rsidRDefault="00B018A5" w:rsidP="002F3CAA">
      <w:pPr>
        <w:spacing w:line="276" w:lineRule="auto"/>
      </w:pPr>
    </w:p>
    <w:p w14:paraId="1AC8C235" w14:textId="77777777" w:rsidR="002F3CAA" w:rsidRDefault="002F3CAA" w:rsidP="002F3CAA">
      <w:pPr>
        <w:spacing w:line="276" w:lineRule="auto"/>
        <w:rPr>
          <w:b/>
          <w:sz w:val="28"/>
          <w:szCs w:val="28"/>
        </w:rPr>
        <w:sectPr w:rsidR="002F3CAA" w:rsidSect="00605C1E">
          <w:footerReference w:type="even" r:id="rId24"/>
          <w:footerReference w:type="default" r:id="rId25"/>
          <w:pgSz w:w="11900" w:h="16840"/>
          <w:pgMar w:top="1440" w:right="1800" w:bottom="1440" w:left="1800" w:header="708" w:footer="708" w:gutter="0"/>
          <w:cols w:space="708"/>
          <w:docGrid w:linePitch="360"/>
        </w:sectPr>
      </w:pPr>
    </w:p>
    <w:p w14:paraId="05F2465A" w14:textId="3A81A5F7" w:rsidR="002F3CAA" w:rsidRDefault="002F3CAA" w:rsidP="002F3CAA">
      <w:pPr>
        <w:spacing w:line="276" w:lineRule="auto"/>
        <w:rPr>
          <w:b/>
          <w:sz w:val="28"/>
          <w:szCs w:val="28"/>
        </w:rPr>
      </w:pPr>
    </w:p>
    <w:p w14:paraId="2B930F3F" w14:textId="2F2509C8" w:rsidR="00B018A5" w:rsidRPr="00B018A5" w:rsidRDefault="00B018A5" w:rsidP="002F3CAA">
      <w:pPr>
        <w:spacing w:line="276" w:lineRule="auto"/>
        <w:rPr>
          <w:b/>
          <w:sz w:val="28"/>
          <w:szCs w:val="28"/>
        </w:rPr>
      </w:pPr>
      <w:r w:rsidRPr="00B018A5">
        <w:rPr>
          <w:b/>
          <w:sz w:val="28"/>
          <w:szCs w:val="28"/>
        </w:rPr>
        <w:t xml:space="preserve">Annex A: </w:t>
      </w:r>
      <w:r w:rsidR="00F62CB9">
        <w:rPr>
          <w:b/>
          <w:sz w:val="28"/>
          <w:szCs w:val="28"/>
        </w:rPr>
        <w:t xml:space="preserve">Final Recommendations </w:t>
      </w:r>
      <w:r w:rsidR="004D20C4">
        <w:rPr>
          <w:b/>
          <w:sz w:val="28"/>
          <w:szCs w:val="28"/>
        </w:rPr>
        <w:t>from the Privacy and Proxy Services Accreditation Issues</w:t>
      </w:r>
      <w:r w:rsidR="009E1568">
        <w:rPr>
          <w:b/>
          <w:sz w:val="28"/>
          <w:szCs w:val="28"/>
        </w:rPr>
        <w:t xml:space="preserve"> </w:t>
      </w:r>
      <w:r w:rsidR="00F62CB9">
        <w:rPr>
          <w:b/>
          <w:sz w:val="28"/>
          <w:szCs w:val="28"/>
        </w:rPr>
        <w:t>PDP WG (extracted from the Executive Summary of the Final Report)</w:t>
      </w:r>
    </w:p>
    <w:p w14:paraId="43BCB482" w14:textId="77777777" w:rsidR="00B018A5" w:rsidRDefault="00B018A5" w:rsidP="002F3CAA">
      <w:pPr>
        <w:spacing w:line="276" w:lineRule="auto"/>
      </w:pPr>
    </w:p>
    <w:p w14:paraId="14AA418C" w14:textId="77777777" w:rsidR="00F62CB9" w:rsidRDefault="00F62CB9" w:rsidP="002F3CAA">
      <w:pPr>
        <w:suppressLineNumbers/>
        <w:spacing w:before="100" w:beforeAutospacing="1" w:after="100" w:afterAutospacing="1" w:line="276" w:lineRule="auto"/>
        <w:contextualSpacing/>
        <w:rPr>
          <w:szCs w:val="22"/>
        </w:rPr>
      </w:pPr>
      <w:r>
        <w:rPr>
          <w:szCs w:val="22"/>
        </w:rPr>
        <w:t xml:space="preserve">The WG has reached </w:t>
      </w:r>
      <w:r w:rsidRPr="00AD13CF">
        <w:rPr>
          <w:b/>
          <w:szCs w:val="22"/>
        </w:rPr>
        <w:t>FULL CONSENSUS</w:t>
      </w:r>
      <w:r>
        <w:rPr>
          <w:szCs w:val="22"/>
        </w:rPr>
        <w:t xml:space="preserve"> on all the following recommendations:</w:t>
      </w:r>
    </w:p>
    <w:p w14:paraId="62A152C0" w14:textId="77777777" w:rsidR="00F62CB9" w:rsidRDefault="00F62CB9" w:rsidP="002F3CAA">
      <w:pPr>
        <w:suppressLineNumbers/>
        <w:spacing w:before="100" w:beforeAutospacing="1" w:after="100" w:afterAutospacing="1" w:line="276" w:lineRule="auto"/>
        <w:contextualSpacing/>
        <w:rPr>
          <w:szCs w:val="22"/>
        </w:rPr>
      </w:pPr>
    </w:p>
    <w:p w14:paraId="61F0871C" w14:textId="77777777" w:rsidR="00F62CB9" w:rsidRDefault="00F62CB9" w:rsidP="002F3CAA">
      <w:pPr>
        <w:suppressLineNumbers/>
        <w:spacing w:before="100" w:beforeAutospacing="1" w:after="100" w:afterAutospacing="1" w:line="276" w:lineRule="auto"/>
        <w:contextualSpacing/>
        <w:rPr>
          <w:szCs w:val="22"/>
        </w:rPr>
      </w:pPr>
      <w:r>
        <w:rPr>
          <w:szCs w:val="22"/>
        </w:rPr>
        <w:t>I. DEFINITIONS:</w:t>
      </w:r>
    </w:p>
    <w:p w14:paraId="637C2492" w14:textId="77777777" w:rsidR="00F62CB9" w:rsidRDefault="00F62CB9" w:rsidP="002F3CAA">
      <w:pPr>
        <w:suppressLineNumbers/>
        <w:spacing w:before="100" w:beforeAutospacing="1" w:after="100" w:afterAutospacing="1" w:line="276" w:lineRule="auto"/>
        <w:contextualSpacing/>
        <w:rPr>
          <w:szCs w:val="22"/>
        </w:rPr>
      </w:pPr>
    </w:p>
    <w:p w14:paraId="2C93E85B"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14:paraId="4145B371" w14:textId="77777777" w:rsidR="00F62CB9" w:rsidRPr="003D0A79" w:rsidRDefault="00F62CB9" w:rsidP="002F3CAA">
      <w:pPr>
        <w:spacing w:before="100" w:beforeAutospacing="1" w:after="100" w:afterAutospacing="1" w:line="276" w:lineRule="auto"/>
        <w:ind w:left="360"/>
        <w:contextualSpacing/>
        <w:rPr>
          <w:szCs w:val="22"/>
        </w:rPr>
      </w:pPr>
    </w:p>
    <w:p w14:paraId="2A01BB5C" w14:textId="77777777" w:rsidR="00F62CB9" w:rsidRPr="00F64121" w:rsidRDefault="00F62CB9" w:rsidP="002F3CAA">
      <w:pPr>
        <w:numPr>
          <w:ilvl w:val="0"/>
          <w:numId w:val="25"/>
        </w:numPr>
        <w:suppressAutoHyphens/>
        <w:spacing w:before="100" w:beforeAutospacing="1" w:after="100" w:afterAutospacing="1" w:line="276" w:lineRule="auto"/>
        <w:contextualSpacing/>
        <w:rPr>
          <w:szCs w:val="22"/>
        </w:rPr>
      </w:pPr>
      <w:r w:rsidRPr="00F64121">
        <w:rPr>
          <w:b/>
          <w:i/>
          <w:szCs w:val="22"/>
        </w:rPr>
        <w:t>"Privacy Service"</w:t>
      </w:r>
      <w:r w:rsidRPr="00F968EF">
        <w:rPr>
          <w:szCs w:val="22"/>
        </w:rPr>
        <w:t xml:space="preserve"> </w:t>
      </w:r>
      <w:r>
        <w:rPr>
          <w:szCs w:val="22"/>
        </w:rPr>
        <w:t>means</w:t>
      </w:r>
      <w:r w:rsidRPr="00F968EF">
        <w:rPr>
          <w:szCs w:val="22"/>
        </w:rPr>
        <w:t xml:space="preserve"> a service by which a Registered Name is registered to its beneficial user as the Registered Name Holder, but for which alternative, reliable contact information is provided by the </w:t>
      </w:r>
      <w:r>
        <w:rPr>
          <w:szCs w:val="22"/>
        </w:rPr>
        <w:t>privacy or proxy</w:t>
      </w:r>
      <w:r w:rsidRPr="00F968EF">
        <w:rPr>
          <w:szCs w:val="22"/>
        </w:rPr>
        <w:t xml:space="preserve"> </w:t>
      </w:r>
      <w:r>
        <w:rPr>
          <w:szCs w:val="22"/>
        </w:rPr>
        <w:t>service p</w:t>
      </w:r>
      <w:r w:rsidRPr="00F968EF">
        <w:rPr>
          <w:szCs w:val="22"/>
        </w:rPr>
        <w:t>rovider for display of the Registered Name Holder's contact information in the Registration Data Service (WHOIS) or equivalent services</w:t>
      </w:r>
      <w:r>
        <w:rPr>
          <w:rStyle w:val="FootnoteReference"/>
          <w:szCs w:val="22"/>
        </w:rPr>
        <w:footnoteReference w:id="1"/>
      </w:r>
      <w:r w:rsidRPr="00F968EF">
        <w:rPr>
          <w:szCs w:val="22"/>
        </w:rPr>
        <w:t xml:space="preserve">. </w:t>
      </w:r>
    </w:p>
    <w:p w14:paraId="1F7D92F0" w14:textId="77777777" w:rsidR="00F62CB9" w:rsidRPr="00F64121" w:rsidRDefault="00F62CB9" w:rsidP="002F3CAA">
      <w:pPr>
        <w:numPr>
          <w:ilvl w:val="0"/>
          <w:numId w:val="25"/>
        </w:numPr>
        <w:suppressAutoHyphens/>
        <w:spacing w:before="100" w:beforeAutospacing="1" w:after="100" w:afterAutospacing="1" w:line="276" w:lineRule="auto"/>
        <w:contextualSpacing/>
        <w:rPr>
          <w:szCs w:val="22"/>
        </w:rPr>
      </w:pPr>
      <w:r w:rsidRPr="00F64121">
        <w:rPr>
          <w:b/>
          <w:i/>
          <w:szCs w:val="22"/>
        </w:rPr>
        <w:t>"Proxy Service"</w:t>
      </w:r>
      <w:r w:rsidRPr="00F968EF">
        <w:rPr>
          <w:szCs w:val="22"/>
        </w:rPr>
        <w:t xml:space="preserve"> is a service through which a Registered Name Holder licenses use of a Registered Name to the </w:t>
      </w:r>
      <w:r>
        <w:rPr>
          <w:szCs w:val="22"/>
        </w:rPr>
        <w:t>privacy or proxy</w:t>
      </w:r>
      <w:r w:rsidRPr="00F968EF">
        <w:rPr>
          <w:szCs w:val="22"/>
        </w:rPr>
        <w:t xml:space="preserve"> </w:t>
      </w:r>
      <w:r>
        <w:rPr>
          <w:szCs w:val="22"/>
        </w:rPr>
        <w:t>c</w:t>
      </w:r>
      <w:r w:rsidRPr="00F968EF">
        <w:rPr>
          <w:szCs w:val="22"/>
        </w:rPr>
        <w:t xml:space="preserve">ustomer in order to provide the </w:t>
      </w:r>
      <w:r>
        <w:rPr>
          <w:szCs w:val="22"/>
        </w:rPr>
        <w:t>privacy or proxy</w:t>
      </w:r>
      <w:r w:rsidRPr="00F968EF">
        <w:rPr>
          <w:szCs w:val="22"/>
        </w:rPr>
        <w:t xml:space="preserve"> </w:t>
      </w:r>
      <w:r>
        <w:rPr>
          <w:szCs w:val="22"/>
        </w:rPr>
        <w:t>c</w:t>
      </w:r>
      <w:r w:rsidRPr="00F968EF">
        <w:rPr>
          <w:szCs w:val="22"/>
        </w:rPr>
        <w:t xml:space="preserve">ustomer use of the domain name, and the Registered Name Holder's contact information is displayed in the Registration Data Service (WHOIS) or equivalent services rather than the </w:t>
      </w:r>
      <w:r>
        <w:rPr>
          <w:szCs w:val="22"/>
        </w:rPr>
        <w:t>c</w:t>
      </w:r>
      <w:r w:rsidRPr="00F968EF">
        <w:rPr>
          <w:szCs w:val="22"/>
        </w:rPr>
        <w:t>ustomer's contact information</w:t>
      </w:r>
      <w:r>
        <w:rPr>
          <w:szCs w:val="22"/>
        </w:rPr>
        <w:t>.</w:t>
      </w:r>
    </w:p>
    <w:p w14:paraId="2F7AC4D9" w14:textId="77777777" w:rsidR="00F62CB9" w:rsidRDefault="00F62CB9" w:rsidP="002F3CAA">
      <w:pPr>
        <w:spacing w:before="100" w:beforeAutospacing="1" w:after="100" w:afterAutospacing="1" w:line="276" w:lineRule="auto"/>
        <w:ind w:left="720"/>
        <w:contextualSpacing/>
        <w:rPr>
          <w:szCs w:val="22"/>
        </w:rPr>
      </w:pPr>
    </w:p>
    <w:p w14:paraId="13DE9380" w14:textId="77777777" w:rsidR="00F62CB9" w:rsidRDefault="00F62CB9" w:rsidP="002F3CAA">
      <w:pPr>
        <w:spacing w:before="100" w:beforeAutospacing="1" w:after="100" w:afterAutospacing="1" w:line="276" w:lineRule="auto"/>
        <w:ind w:left="720"/>
        <w:contextualSpacing/>
        <w:rPr>
          <w:szCs w:val="22"/>
        </w:rPr>
      </w:pPr>
      <w:r>
        <w:rPr>
          <w:szCs w:val="22"/>
        </w:rPr>
        <w:t>NOTE: In relation to the definitions of a Privacy Service and a Proxy Service, the WG makes the following additional recommendation:</w:t>
      </w:r>
    </w:p>
    <w:p w14:paraId="5CCD40BB" w14:textId="77777777" w:rsidR="00F62CB9" w:rsidRDefault="00F62CB9" w:rsidP="002F3CAA">
      <w:pPr>
        <w:spacing w:before="100" w:beforeAutospacing="1" w:after="100" w:afterAutospacing="1" w:line="276" w:lineRule="auto"/>
        <w:ind w:left="720"/>
        <w:contextualSpacing/>
        <w:rPr>
          <w:szCs w:val="22"/>
        </w:rPr>
      </w:pPr>
    </w:p>
    <w:p w14:paraId="49393EB8" w14:textId="77777777" w:rsidR="00F62CB9" w:rsidRPr="00F64121" w:rsidRDefault="00F62CB9" w:rsidP="002F3CAA">
      <w:pPr>
        <w:numPr>
          <w:ilvl w:val="1"/>
          <w:numId w:val="25"/>
        </w:numPr>
        <w:suppressAutoHyphens/>
        <w:spacing w:before="100" w:beforeAutospacing="1" w:after="100" w:afterAutospacing="1" w:line="276" w:lineRule="auto"/>
        <w:contextualSpacing/>
        <w:rPr>
          <w:iCs/>
          <w:szCs w:val="22"/>
        </w:rPr>
      </w:pPr>
      <w:r w:rsidRPr="00F64121">
        <w:rPr>
          <w:iCs/>
          <w:szCs w:val="22"/>
        </w:rPr>
        <w:t xml:space="preserve">Registrars </w:t>
      </w:r>
      <w:r>
        <w:rPr>
          <w:iCs/>
          <w:szCs w:val="22"/>
        </w:rPr>
        <w:t>are</w:t>
      </w:r>
      <w:r w:rsidRPr="00F64121">
        <w:rPr>
          <w:iCs/>
          <w:szCs w:val="22"/>
        </w:rPr>
        <w:t xml:space="preserve"> not </w:t>
      </w:r>
      <w:r>
        <w:rPr>
          <w:iCs/>
          <w:szCs w:val="22"/>
        </w:rPr>
        <w:t xml:space="preserve">to </w:t>
      </w:r>
      <w:r w:rsidRPr="00F64121">
        <w:rPr>
          <w:iCs/>
          <w:szCs w:val="22"/>
        </w:rPr>
        <w:t>knowingly</w:t>
      </w:r>
      <w:r>
        <w:rPr>
          <w:rStyle w:val="FootnoteReference"/>
          <w:iCs/>
          <w:szCs w:val="22"/>
        </w:rPr>
        <w:footnoteReference w:id="2"/>
      </w:r>
      <w:r w:rsidRPr="00F64121">
        <w:rPr>
          <w:iCs/>
          <w:szCs w:val="22"/>
        </w:rPr>
        <w:t xml:space="preserve"> accept registrations from </w:t>
      </w:r>
      <w:r>
        <w:rPr>
          <w:iCs/>
          <w:szCs w:val="22"/>
        </w:rPr>
        <w:t>privacy or proxy</w:t>
      </w:r>
      <w:r w:rsidRPr="00F64121">
        <w:rPr>
          <w:iCs/>
          <w:szCs w:val="22"/>
        </w:rPr>
        <w:t xml:space="preserve">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Pr>
          <w:rStyle w:val="FootnoteReference"/>
          <w:iCs/>
          <w:szCs w:val="22"/>
        </w:rPr>
        <w:footnoteReference w:id="3"/>
      </w:r>
      <w:r w:rsidRPr="00F64121">
        <w:rPr>
          <w:iCs/>
          <w:szCs w:val="22"/>
        </w:rPr>
        <w:t>.</w:t>
      </w:r>
      <w:r>
        <w:rPr>
          <w:iCs/>
          <w:szCs w:val="22"/>
        </w:rPr>
        <w:t xml:space="preserve"> </w:t>
      </w:r>
    </w:p>
    <w:p w14:paraId="3427EB31" w14:textId="77777777" w:rsidR="00F62CB9" w:rsidRPr="00F64121" w:rsidRDefault="00F62CB9" w:rsidP="002F3CAA">
      <w:pPr>
        <w:spacing w:before="100" w:beforeAutospacing="1" w:after="100" w:afterAutospacing="1" w:line="276" w:lineRule="auto"/>
        <w:contextualSpacing/>
        <w:rPr>
          <w:i/>
          <w:iCs/>
          <w:szCs w:val="22"/>
        </w:rPr>
      </w:pPr>
    </w:p>
    <w:p w14:paraId="7A76822D" w14:textId="77777777" w:rsidR="00F62CB9" w:rsidRPr="0053084F" w:rsidRDefault="00F62CB9" w:rsidP="002F3CAA">
      <w:pPr>
        <w:pStyle w:val="ListParagraph"/>
        <w:widowControl w:val="0"/>
        <w:numPr>
          <w:ilvl w:val="0"/>
          <w:numId w:val="25"/>
        </w:numPr>
        <w:suppressLineNumbers/>
        <w:spacing w:before="100" w:beforeAutospacing="1" w:after="100" w:afterAutospacing="1" w:line="276" w:lineRule="auto"/>
      </w:pPr>
      <w:r w:rsidRPr="0011292F">
        <w:rPr>
          <w:b/>
          <w:i/>
          <w:lang w:val="en-GB"/>
        </w:rPr>
        <w:t>“Affiliate”</w:t>
      </w:r>
      <w:r w:rsidRPr="00441603">
        <w:rPr>
          <w:lang w:val="en-GB"/>
        </w:rPr>
        <w:t xml:space="preserve">, when used in this Final Report in the context of the relationship between a privacy or proxy service provider and an ICANN-accredited registrar, means a privacy or proxy service provider that is Affiliated with such a registrar, in the sense that word is used in the </w:t>
      </w:r>
      <w:hyperlink r:id="rId26" w:history="1">
        <w:r w:rsidRPr="00441603">
          <w:rPr>
            <w:rStyle w:val="Hyperlink"/>
            <w:lang w:val="en-GB"/>
          </w:rPr>
          <w:t>2013 RAA</w:t>
        </w:r>
      </w:hyperlink>
      <w:r w:rsidRPr="00441603">
        <w:rPr>
          <w:lang w:val="en-GB"/>
        </w:rPr>
        <w:t>. Section 1.3 of the 2013 RAA defines an “Affiliate” as a person or entity that, directly or indirectly, through one or more intermediaries, controls, is controlled by, or is under common control with, the person or entity specified.</w:t>
      </w:r>
    </w:p>
    <w:p w14:paraId="2F6CEE36" w14:textId="77777777" w:rsidR="00F62CB9" w:rsidRDefault="00F62CB9" w:rsidP="002F3CAA">
      <w:pPr>
        <w:numPr>
          <w:ilvl w:val="0"/>
          <w:numId w:val="25"/>
        </w:numPr>
        <w:suppressAutoHyphens/>
        <w:spacing w:before="100" w:beforeAutospacing="1" w:after="100" w:afterAutospacing="1" w:line="276" w:lineRule="auto"/>
        <w:contextualSpacing/>
        <w:rPr>
          <w:szCs w:val="22"/>
        </w:rPr>
      </w:pPr>
      <w:r w:rsidRPr="003D0A79">
        <w:rPr>
          <w:b/>
          <w:i/>
          <w:szCs w:val="22"/>
        </w:rPr>
        <w:t>“Publication”</w:t>
      </w:r>
      <w:r>
        <w:rPr>
          <w:szCs w:val="22"/>
        </w:rPr>
        <w:t xml:space="preserve"> means the reveal</w:t>
      </w:r>
      <w:r>
        <w:rPr>
          <w:rStyle w:val="FootnoteReference"/>
          <w:szCs w:val="22"/>
        </w:rPr>
        <w:footnoteReference w:id="4"/>
      </w:r>
      <w:r>
        <w:rPr>
          <w:szCs w:val="22"/>
        </w:rPr>
        <w:t xml:space="preserve"> of a person’s (i.e. the licensee or beneficial owner of a registered domain name) identity/contact details in the WHOIS system.</w:t>
      </w:r>
    </w:p>
    <w:p w14:paraId="00FB5CD2" w14:textId="77777777" w:rsidR="00F62CB9" w:rsidRDefault="00F62CB9" w:rsidP="002F3CAA">
      <w:pPr>
        <w:numPr>
          <w:ilvl w:val="0"/>
          <w:numId w:val="25"/>
        </w:numPr>
        <w:suppressAutoHyphens/>
        <w:spacing w:before="100" w:beforeAutospacing="1" w:after="100" w:afterAutospacing="1" w:line="276" w:lineRule="auto"/>
        <w:contextualSpacing/>
        <w:rPr>
          <w:szCs w:val="22"/>
        </w:rPr>
      </w:pPr>
      <w:r w:rsidRPr="003D0A79">
        <w:rPr>
          <w:b/>
          <w:i/>
          <w:szCs w:val="22"/>
        </w:rPr>
        <w:t>“Disclosure”</w:t>
      </w:r>
      <w:r>
        <w:rPr>
          <w:szCs w:val="22"/>
        </w:rPr>
        <w:t xml:space="preserve"> means the reveal of a person’s (i.e. the licensee or beneficial owner of a registered domain name) identity/contact details to a third party Requester without Publication in the WHOIS system.</w:t>
      </w:r>
    </w:p>
    <w:p w14:paraId="4624978A" w14:textId="77777777" w:rsidR="00F62CB9" w:rsidRDefault="00F62CB9" w:rsidP="002F3CAA">
      <w:pPr>
        <w:numPr>
          <w:ilvl w:val="0"/>
          <w:numId w:val="25"/>
        </w:numPr>
        <w:suppressAutoHyphens/>
        <w:spacing w:before="100" w:beforeAutospacing="1" w:after="100" w:afterAutospacing="1" w:line="276" w:lineRule="auto"/>
        <w:contextualSpacing/>
        <w:rPr>
          <w:szCs w:val="22"/>
        </w:rPr>
      </w:pPr>
      <w:r>
        <w:rPr>
          <w:szCs w:val="22"/>
        </w:rPr>
        <w:t xml:space="preserve">The term </w:t>
      </w:r>
      <w:r w:rsidRPr="003D0A79">
        <w:rPr>
          <w:b/>
          <w:i/>
          <w:szCs w:val="22"/>
        </w:rPr>
        <w:t>“person”</w:t>
      </w:r>
      <w:r>
        <w:rPr>
          <w:szCs w:val="22"/>
        </w:rPr>
        <w:t xml:space="preserve"> as used in these definitions is understood to include natural and legal persons, as well as organizations and entities.</w:t>
      </w:r>
    </w:p>
    <w:p w14:paraId="04D66C45" w14:textId="77777777" w:rsidR="00F62CB9" w:rsidRDefault="00F62CB9" w:rsidP="002F3CAA">
      <w:pPr>
        <w:pStyle w:val="ListParagraph"/>
        <w:widowControl w:val="0"/>
        <w:numPr>
          <w:ilvl w:val="0"/>
          <w:numId w:val="25"/>
        </w:numPr>
        <w:suppressLineNumbers/>
        <w:spacing w:before="100" w:beforeAutospacing="1" w:after="100" w:afterAutospacing="1" w:line="276" w:lineRule="auto"/>
      </w:pPr>
      <w:r w:rsidRPr="00553D64">
        <w:rPr>
          <w:b/>
          <w:i/>
        </w:rPr>
        <w:t>“Law enforcement authority”</w:t>
      </w:r>
      <w:r w:rsidRPr="000A4A43">
        <w:t xml:space="preserve"> means law enforcement, consumer protection, quasi-governmental or other similar authorities designated from time to time by the national or territorial government of the jurisdiction in which the </w:t>
      </w:r>
      <w:r>
        <w:t>privacy or proxy</w:t>
      </w:r>
      <w:r w:rsidRPr="000A4A43">
        <w:t xml:space="preserve"> service provider is established or maintains a physical office</w:t>
      </w:r>
      <w:r>
        <w:t xml:space="preserve">. This definition is based on </w:t>
      </w:r>
      <w:r w:rsidRPr="00965ED5">
        <w:rPr>
          <w:lang w:val="en-GB"/>
        </w:rPr>
        <w:t xml:space="preserve">Section 3.18.2 of the 2013 Registrar Accreditation Agreement, which provision spells out a registrar’s obligation to maintain a point of contact for, and </w:t>
      </w:r>
      <w:r>
        <w:rPr>
          <w:lang w:val="en-GB"/>
        </w:rPr>
        <w:t xml:space="preserve">to </w:t>
      </w:r>
      <w:r w:rsidRPr="00965ED5">
        <w:rPr>
          <w:lang w:val="en-GB"/>
        </w:rPr>
        <w:t>review reports received from, law enforcement authorities</w:t>
      </w:r>
      <w:r>
        <w:rPr>
          <w:rStyle w:val="FootnoteReference"/>
        </w:rPr>
        <w:footnoteReference w:id="5"/>
      </w:r>
      <w:r>
        <w:rPr>
          <w:lang w:val="en-GB"/>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Pr="000A4A43">
        <w:t>.</w:t>
      </w:r>
      <w:r>
        <w:t xml:space="preserve"> </w:t>
      </w:r>
    </w:p>
    <w:p w14:paraId="3104378F" w14:textId="77777777" w:rsidR="00F62CB9" w:rsidRDefault="00F62CB9" w:rsidP="002F3CAA">
      <w:pPr>
        <w:pStyle w:val="ListParagraph"/>
        <w:widowControl w:val="0"/>
        <w:numPr>
          <w:ilvl w:val="0"/>
          <w:numId w:val="25"/>
        </w:numPr>
        <w:suppressLineNumbers/>
        <w:spacing w:before="100" w:beforeAutospacing="1" w:after="100" w:afterAutospacing="1" w:line="276" w:lineRule="auto"/>
      </w:pPr>
      <w:r w:rsidRPr="003D0A79">
        <w:rPr>
          <w:b/>
          <w:i/>
        </w:rPr>
        <w:t>“Relay”</w:t>
      </w:r>
      <w:r>
        <w:t>, when used in the context of a request to a privacy or proxy service provider from a Requester, means to forward the request to, or otherwise notify, the privacy or proxy service customer that a Requester is attempting to contact the customer.</w:t>
      </w:r>
    </w:p>
    <w:p w14:paraId="09D42E09" w14:textId="77777777" w:rsidR="00F62CB9" w:rsidRDefault="00F62CB9" w:rsidP="002F3CAA">
      <w:pPr>
        <w:pStyle w:val="ListParagraph"/>
        <w:widowControl w:val="0"/>
        <w:numPr>
          <w:ilvl w:val="0"/>
          <w:numId w:val="25"/>
        </w:numPr>
        <w:suppressLineNumbers/>
        <w:spacing w:before="100" w:beforeAutospacing="1" w:after="100" w:afterAutospacing="1" w:line="276" w:lineRule="auto"/>
      </w:pPr>
      <w:r w:rsidRPr="003D0A79">
        <w:rPr>
          <w:b/>
          <w:i/>
        </w:rPr>
        <w:t>“</w:t>
      </w:r>
      <w:r>
        <w:rPr>
          <w:b/>
          <w:i/>
        </w:rPr>
        <w:t>Requester</w:t>
      </w:r>
      <w:r w:rsidRPr="003D0A79">
        <w:rPr>
          <w:b/>
          <w:i/>
        </w:rPr>
        <w:t>”</w:t>
      </w:r>
      <w:r>
        <w:t xml:space="preserve">, when used in the context of Relay, Disclosure or Publication, including in the Illustrative Disclosure Framework described in Annex B, means an individual, organization or entity (or its authorized representatives) that requests from a privacy or proxy service provider either a Relay, or Disclosure or </w:t>
      </w:r>
      <w:r>
        <w:lastRenderedPageBreak/>
        <w:t>Publication of the identity or contact details of a customer, as the case may be.</w:t>
      </w:r>
    </w:p>
    <w:p w14:paraId="2BF6D4E1" w14:textId="77777777" w:rsidR="00F62CB9" w:rsidRDefault="00F62CB9" w:rsidP="002F3CAA">
      <w:pPr>
        <w:suppressLineNumbers/>
        <w:spacing w:before="100" w:beforeAutospacing="1" w:after="100" w:afterAutospacing="1" w:line="276" w:lineRule="auto"/>
        <w:contextualSpacing/>
        <w:rPr>
          <w:szCs w:val="22"/>
        </w:rPr>
      </w:pPr>
      <w:r>
        <w:rPr>
          <w:szCs w:val="22"/>
          <w:u w:val="single"/>
        </w:rPr>
        <w:t>II. NO DISTINCTION IN TREATMENT; WHOIS LABELING REQUIREMENTS; VALIDATION &amp; VERIFICATION OF CUSTOMER DATA</w:t>
      </w:r>
      <w:r>
        <w:rPr>
          <w:szCs w:val="22"/>
        </w:rPr>
        <w:t>:</w:t>
      </w:r>
    </w:p>
    <w:p w14:paraId="37518BC3" w14:textId="77777777" w:rsidR="00F62CB9" w:rsidRDefault="00F62CB9" w:rsidP="002F3CAA">
      <w:pPr>
        <w:suppressLineNumbers/>
        <w:spacing w:before="100" w:beforeAutospacing="1" w:after="100" w:afterAutospacing="1" w:line="276" w:lineRule="auto"/>
        <w:contextualSpacing/>
        <w:rPr>
          <w:szCs w:val="22"/>
        </w:rPr>
      </w:pPr>
    </w:p>
    <w:p w14:paraId="4E6B9161"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Privacy and proxy services (“P/P services”) are to be treated the same way for the purpose of the accreditation process.</w:t>
      </w:r>
    </w:p>
    <w:p w14:paraId="0FB51267" w14:textId="77777777" w:rsidR="00F62CB9" w:rsidRDefault="00F62CB9" w:rsidP="002F3CAA">
      <w:pPr>
        <w:spacing w:before="100" w:beforeAutospacing="1" w:after="100" w:afterAutospacing="1" w:line="276" w:lineRule="auto"/>
        <w:ind w:left="360"/>
        <w:contextualSpacing/>
        <w:rPr>
          <w:szCs w:val="22"/>
        </w:rPr>
      </w:pPr>
    </w:p>
    <w:p w14:paraId="308FBCEE"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The status of a registrant as a commercial organization, non-commercial organization, or individual should not be the driving factor in whether P/P services are available to the registrant. 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p>
    <w:p w14:paraId="154FC331" w14:textId="77777777" w:rsidR="00F62CB9" w:rsidRDefault="00F62CB9" w:rsidP="002F3CAA">
      <w:pPr>
        <w:spacing w:before="100" w:beforeAutospacing="1" w:after="100" w:afterAutospacing="1" w:line="276" w:lineRule="auto"/>
        <w:contextualSpacing/>
        <w:rPr>
          <w:szCs w:val="22"/>
        </w:rPr>
      </w:pPr>
    </w:p>
    <w:p w14:paraId="2FFFE247"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To the extent that this is feasible, domain name registrations involving P/P service providers should be clearly labelled as such in WHOIS</w:t>
      </w:r>
      <w:r>
        <w:rPr>
          <w:rStyle w:val="FootnoteReference"/>
          <w:szCs w:val="22"/>
        </w:rPr>
        <w:footnoteReference w:id="6"/>
      </w:r>
      <w:r>
        <w:rPr>
          <w:szCs w:val="22"/>
        </w:rPr>
        <w:t>.</w:t>
      </w:r>
    </w:p>
    <w:p w14:paraId="06988F78" w14:textId="77777777" w:rsidR="00F62CB9" w:rsidRDefault="00F62CB9" w:rsidP="002F3CAA">
      <w:pPr>
        <w:spacing w:before="100" w:beforeAutospacing="1" w:after="100" w:afterAutospacing="1" w:line="276" w:lineRule="auto"/>
        <w:contextualSpacing/>
        <w:rPr>
          <w:szCs w:val="22"/>
        </w:rPr>
      </w:pPr>
    </w:p>
    <w:p w14:paraId="25C4A19F"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P/P customer data is to be validated and verified in a manner consistent with the requirements outlined in the </w:t>
      </w:r>
      <w:hyperlink r:id="rId27" w:anchor="whois-accuracy" w:history="1">
        <w:r>
          <w:rPr>
            <w:rStyle w:val="Hyperlink"/>
            <w:szCs w:val="22"/>
          </w:rPr>
          <w:t>WHOIS Accuracy Program Specification</w:t>
        </w:r>
      </w:hyperlink>
      <w:r>
        <w:rPr>
          <w:szCs w:val="22"/>
        </w:rPr>
        <w:t xml:space="preserve"> of the 2013 RAA (as may be updated from time to time). In the cases where a P/P service provider is Affiliated with a registrar and that Affiliated registrar has carried out validation and verification of the P/P customer data, re-verification by the P/P service provider of the same, identical, information should not be required.</w:t>
      </w:r>
    </w:p>
    <w:p w14:paraId="03791EFE" w14:textId="77777777" w:rsidR="00F62CB9" w:rsidRDefault="00F62CB9" w:rsidP="002F3CAA">
      <w:pPr>
        <w:spacing w:before="100" w:beforeAutospacing="1" w:after="100" w:afterAutospacing="1" w:line="276" w:lineRule="auto"/>
        <w:contextualSpacing/>
        <w:rPr>
          <w:szCs w:val="22"/>
        </w:rPr>
      </w:pPr>
    </w:p>
    <w:p w14:paraId="58A69BA9" w14:textId="77777777" w:rsidR="00F62CB9" w:rsidRDefault="00F62CB9" w:rsidP="002F3CAA">
      <w:pPr>
        <w:spacing w:before="100" w:beforeAutospacing="1" w:after="100" w:afterAutospacing="1" w:line="276" w:lineRule="auto"/>
        <w:contextualSpacing/>
        <w:rPr>
          <w:szCs w:val="22"/>
        </w:rPr>
      </w:pPr>
      <w:r>
        <w:rPr>
          <w:szCs w:val="22"/>
          <w:u w:val="single"/>
        </w:rPr>
        <w:t>MANDATORY PROVISIONS TO BE INCLUDED IN PROVIDER TERMS OF SERVICE &amp; MINIMUM REQUIREMENTS TO BE COMMUNICATED TO CUSTOMERS</w:t>
      </w:r>
      <w:r>
        <w:rPr>
          <w:szCs w:val="22"/>
        </w:rPr>
        <w:t>:</w:t>
      </w:r>
    </w:p>
    <w:p w14:paraId="0AAE94BD" w14:textId="77777777" w:rsidR="00F62CB9" w:rsidRDefault="00F62CB9" w:rsidP="002F3CAA">
      <w:pPr>
        <w:spacing w:before="100" w:beforeAutospacing="1" w:after="100" w:afterAutospacing="1" w:line="276" w:lineRule="auto"/>
        <w:contextualSpacing/>
        <w:rPr>
          <w:szCs w:val="22"/>
        </w:rPr>
      </w:pPr>
    </w:p>
    <w:p w14:paraId="668CD12D"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All rights, responsibilities and obligations of registrants and P/P service customers as well as those of accredited P/P service providers need to be clearly communicated in the P/P service registration agreement, including a provider’s obligations in managing those rights and responsibilities and any specific requirements applying to transfers and renewals of a domain name. In particular, all accredited P/P service providers must disclose to their customers the conditions under which the service may be terminated in the event of a transfer of the domain name, and how requests for transfers of a domain name are handled.</w:t>
      </w:r>
    </w:p>
    <w:p w14:paraId="4341A63B" w14:textId="77777777" w:rsidR="00F62CB9" w:rsidRDefault="00F62CB9" w:rsidP="002F3CAA">
      <w:pPr>
        <w:spacing w:before="100" w:beforeAutospacing="1" w:after="100" w:afterAutospacing="1" w:line="276" w:lineRule="auto"/>
        <w:contextualSpacing/>
        <w:jc w:val="both"/>
        <w:rPr>
          <w:szCs w:val="22"/>
        </w:rPr>
      </w:pPr>
    </w:p>
    <w:p w14:paraId="4892FB14"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All accredited P/P service providers must include on their websites, and in all Publication and Disclosure-related policies and documents, a link to either a request </w:t>
      </w:r>
      <w:r>
        <w:rPr>
          <w:szCs w:val="22"/>
        </w:rPr>
        <w:lastRenderedPageBreak/>
        <w:t xml:space="preserve">form containing a set of specific, minimum, mandatory criteria, or an equivalent list of such criteria, that the provider requires in order to determine whether or not to comply with third party requests, such as for the Disclosure or Publication of customer identity or contact details. </w:t>
      </w:r>
    </w:p>
    <w:p w14:paraId="49B6F958" w14:textId="77777777" w:rsidR="00F62CB9" w:rsidRDefault="00F62CB9" w:rsidP="002F3CAA">
      <w:pPr>
        <w:spacing w:before="100" w:beforeAutospacing="1" w:after="100" w:afterAutospacing="1" w:line="276" w:lineRule="auto"/>
        <w:contextualSpacing/>
        <w:jc w:val="both"/>
        <w:rPr>
          <w:szCs w:val="22"/>
        </w:rPr>
      </w:pPr>
    </w:p>
    <w:p w14:paraId="0B887EF6"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All accredited P/P service providers must publish their terms of service, including pricing (e.g. on their websites). In addition to other mandatory provisions recommended by the WG, the terms should at a minimum include the following elements in relation to Disclosure and Publication: </w:t>
      </w:r>
    </w:p>
    <w:p w14:paraId="0E7B5C9E" w14:textId="77777777" w:rsidR="00F62CB9" w:rsidRDefault="00F62CB9" w:rsidP="002F3CAA">
      <w:pPr>
        <w:spacing w:before="100" w:beforeAutospacing="1" w:after="100" w:afterAutospacing="1" w:line="276" w:lineRule="auto"/>
        <w:ind w:left="360"/>
        <w:contextualSpacing/>
        <w:rPr>
          <w:szCs w:val="22"/>
        </w:rPr>
      </w:pPr>
    </w:p>
    <w:p w14:paraId="2D9CC42F" w14:textId="77777777" w:rsidR="00F62CB9" w:rsidRDefault="00F62CB9" w:rsidP="002F3CAA">
      <w:pPr>
        <w:numPr>
          <w:ilvl w:val="0"/>
          <w:numId w:val="26"/>
        </w:numPr>
        <w:suppressAutoHyphens/>
        <w:spacing w:before="100" w:beforeAutospacing="1" w:after="100" w:afterAutospacing="1" w:line="276" w:lineRule="auto"/>
        <w:contextualSpacing/>
        <w:rPr>
          <w:szCs w:val="22"/>
        </w:rPr>
      </w:pPr>
      <w:r>
        <w:rPr>
          <w:szCs w:val="22"/>
        </w:rPr>
        <w:t>Clarification of when those terms refer to Publication requests (and their consequences) and when they refer to Disclosure requests (and their consequences).  The WG further recommends that accredited providers expressly include a provision in their terms of service explaining the meaning and consequences of Publication.</w:t>
      </w:r>
    </w:p>
    <w:p w14:paraId="721F0E0C" w14:textId="77777777" w:rsidR="00F62CB9" w:rsidRPr="00B907A1" w:rsidRDefault="00F62CB9" w:rsidP="002F3CAA">
      <w:pPr>
        <w:numPr>
          <w:ilvl w:val="0"/>
          <w:numId w:val="26"/>
        </w:numPr>
        <w:suppressAutoHyphens/>
        <w:spacing w:before="100" w:beforeAutospacing="1" w:after="100" w:afterAutospacing="1" w:line="276" w:lineRule="auto"/>
        <w:contextualSpacing/>
        <w:rPr>
          <w:szCs w:val="22"/>
        </w:rPr>
      </w:pPr>
      <w:r>
        <w:rPr>
          <w:szCs w:val="22"/>
        </w:rPr>
        <w:t>The specific grounds upon which a customer’s details may be Disclosed or Published or service suspended or terminated, including Publication in the event of a customer’s initiation of a transfer of the underlying domain name</w:t>
      </w:r>
      <w:r>
        <w:rPr>
          <w:rStyle w:val="FootnoteReference"/>
          <w:szCs w:val="22"/>
        </w:rPr>
        <w:footnoteReference w:id="7"/>
      </w:r>
      <w:r>
        <w:rPr>
          <w:szCs w:val="22"/>
        </w:rPr>
        <w:t xml:space="preserve">. In making this recommendation, the WG noted the changes to be introduced to the </w:t>
      </w:r>
      <w:hyperlink r:id="rId28" w:history="1">
        <w:r>
          <w:rPr>
            <w:rStyle w:val="Hyperlink"/>
            <w:rFonts w:eastAsia="MS Mincho" w:cs="Calibri"/>
            <w:szCs w:val="22"/>
          </w:rPr>
          <w:t>Inter Registrar Transfer Policy</w:t>
        </w:r>
      </w:hyperlink>
      <w:r>
        <w:rPr>
          <w:rStyle w:val="Hyperlink"/>
          <w:rFonts w:eastAsia="MS Mincho" w:cs="Calibri"/>
          <w:szCs w:val="22"/>
        </w:rPr>
        <w:t xml:space="preserve"> (“IRTP”) </w:t>
      </w:r>
      <w:r w:rsidRPr="00105697">
        <w:rPr>
          <w:rStyle w:val="Hyperlink"/>
          <w:rFonts w:eastAsia="MS Mincho" w:cs="Calibri"/>
          <w:color w:val="000000"/>
          <w:szCs w:val="22"/>
        </w:rPr>
        <w:t>in 2016</w:t>
      </w:r>
      <w:r>
        <w:rPr>
          <w:rStyle w:val="Hyperlink"/>
          <w:rFonts w:eastAsia="MS Mincho" w:cs="Calibri"/>
          <w:color w:val="000000"/>
          <w:szCs w:val="22"/>
        </w:rPr>
        <w:t>, where</w:t>
      </w:r>
      <w:r w:rsidRPr="00105697">
        <w:rPr>
          <w:rFonts w:eastAsia="MS Mincho" w:cs="Calibri"/>
          <w:color w:val="000000"/>
          <w:szCs w:val="22"/>
        </w:rPr>
        <w:t> following a Change of Registrant</w:t>
      </w:r>
      <w:r w:rsidRPr="00105697">
        <w:rPr>
          <w:rStyle w:val="FootnoteReference"/>
          <w:rFonts w:eastAsia="MS Mincho" w:cs="Calibri"/>
          <w:color w:val="000000"/>
          <w:szCs w:val="22"/>
        </w:rPr>
        <w:footnoteReference w:id="8"/>
      </w:r>
      <w:r>
        <w:rPr>
          <w:rFonts w:eastAsia="MS Mincho" w:cs="Calibri"/>
          <w:color w:val="000000"/>
          <w:szCs w:val="22"/>
        </w:rPr>
        <w:t xml:space="preserve"> a registrar is required to impose a 60-day inter-registrar transfer lock</w:t>
      </w:r>
      <w:r w:rsidRPr="00105697">
        <w:rPr>
          <w:rFonts w:eastAsia="MS Mincho" w:cs="Calibri"/>
          <w:color w:val="000000"/>
          <w:szCs w:val="22"/>
        </w:rPr>
        <w:t>.</w:t>
      </w:r>
    </w:p>
    <w:p w14:paraId="2C6ACD6F" w14:textId="77777777" w:rsidR="00F62CB9" w:rsidRDefault="00F62CB9" w:rsidP="002F3CAA">
      <w:pPr>
        <w:numPr>
          <w:ilvl w:val="0"/>
          <w:numId w:val="26"/>
        </w:numPr>
        <w:suppressAutoHyphens/>
        <w:spacing w:before="100" w:beforeAutospacing="1" w:after="100" w:afterAutospacing="1" w:line="276" w:lineRule="auto"/>
        <w:contextualSpacing/>
        <w:rPr>
          <w:szCs w:val="22"/>
        </w:rPr>
      </w:pPr>
      <w:r>
        <w:rPr>
          <w:szCs w:val="22"/>
        </w:rPr>
        <w:t>Clarification as to whether or not a customer: (1) will be notified when a provider receives a Publication or Disclosure request from a third party; and (2) may opt to cancel its domain registration prior to and in lieu of Publication or Disclosure. However, accredited P/P service providers that offer this option should nevertheless expressly prohibit cancellation of a domain name that is the subject of a UDRP proceeding.</w:t>
      </w:r>
    </w:p>
    <w:p w14:paraId="1857E488" w14:textId="77777777" w:rsidR="00F62CB9" w:rsidRDefault="00F62CB9" w:rsidP="002F3CAA">
      <w:pPr>
        <w:numPr>
          <w:ilvl w:val="0"/>
          <w:numId w:val="26"/>
        </w:numPr>
        <w:suppressAutoHyphens/>
        <w:spacing w:before="100" w:beforeAutospacing="1" w:after="100" w:afterAutospacing="1" w:line="276" w:lineRule="auto"/>
        <w:contextualSpacing/>
        <w:rPr>
          <w:szCs w:val="22"/>
        </w:rPr>
      </w:pPr>
      <w:r>
        <w:rPr>
          <w:szCs w:val="22"/>
        </w:rPr>
        <w:t>Clarification that a Requester will be notified in a timely manner of the provider’s decision: (1) to notify its customer of the request; and (2) whether or not the provider agrees to comply with the request to Disclose or Publish. This should also be clearly indicated in all Disclosure or Publication related materials.</w:t>
      </w:r>
    </w:p>
    <w:p w14:paraId="7EE6FAA3" w14:textId="77777777" w:rsidR="00F62CB9" w:rsidRDefault="00F62CB9" w:rsidP="002F3CAA">
      <w:pPr>
        <w:spacing w:before="100" w:beforeAutospacing="1" w:after="100" w:afterAutospacing="1" w:line="276" w:lineRule="auto"/>
        <w:contextualSpacing/>
        <w:rPr>
          <w:szCs w:val="22"/>
        </w:rPr>
      </w:pPr>
    </w:p>
    <w:p w14:paraId="7E2A391F"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In addition, the WG recommends the following as best practices for accredited P/P service providers</w:t>
      </w:r>
      <w:r>
        <w:rPr>
          <w:rStyle w:val="FootnoteReference"/>
          <w:szCs w:val="22"/>
        </w:rPr>
        <w:footnoteReference w:id="9"/>
      </w:r>
      <w:r>
        <w:rPr>
          <w:szCs w:val="22"/>
        </w:rPr>
        <w:t>:</w:t>
      </w:r>
    </w:p>
    <w:p w14:paraId="34DE487B" w14:textId="77777777" w:rsidR="00F62CB9" w:rsidRDefault="00F62CB9" w:rsidP="002F3CAA">
      <w:pPr>
        <w:spacing w:before="100" w:beforeAutospacing="1" w:after="100" w:afterAutospacing="1" w:line="276" w:lineRule="auto"/>
        <w:ind w:left="360"/>
        <w:contextualSpacing/>
        <w:rPr>
          <w:szCs w:val="22"/>
        </w:rPr>
      </w:pPr>
    </w:p>
    <w:p w14:paraId="4E8F7804" w14:textId="77777777" w:rsidR="00F62CB9" w:rsidRDefault="00F62CB9" w:rsidP="002F3CAA">
      <w:pPr>
        <w:numPr>
          <w:ilvl w:val="0"/>
          <w:numId w:val="22"/>
        </w:numPr>
        <w:spacing w:before="100" w:beforeAutospacing="1" w:after="100" w:afterAutospacing="1" w:line="276" w:lineRule="auto"/>
        <w:contextualSpacing/>
        <w:rPr>
          <w:szCs w:val="22"/>
        </w:rPr>
      </w:pPr>
      <w:r>
        <w:rPr>
          <w:szCs w:val="22"/>
        </w:rPr>
        <w:lastRenderedPageBreak/>
        <w:t>P/P service providers should facilitate and not obstruct the transfer</w:t>
      </w:r>
      <w:r>
        <w:rPr>
          <w:rStyle w:val="FootnoteReference"/>
          <w:szCs w:val="22"/>
        </w:rPr>
        <w:footnoteReference w:id="10"/>
      </w:r>
      <w:r>
        <w:rPr>
          <w:szCs w:val="22"/>
        </w:rPr>
        <w:t xml:space="preserve">, renewal or restoration of a domain name by their customers, including without limitation a renewal during a Redemption Grace Period under the </w:t>
      </w:r>
      <w:hyperlink r:id="rId29" w:history="1">
        <w:r>
          <w:rPr>
            <w:rStyle w:val="Hyperlink"/>
            <w:szCs w:val="22"/>
          </w:rPr>
          <w:t>Expired Registration Recovery Policy</w:t>
        </w:r>
      </w:hyperlink>
      <w:r>
        <w:rPr>
          <w:rStyle w:val="Hyperlink"/>
          <w:szCs w:val="22"/>
        </w:rPr>
        <w:t xml:space="preserve"> </w:t>
      </w:r>
      <w:r>
        <w:rPr>
          <w:szCs w:val="22"/>
        </w:rPr>
        <w:t>and transfers to another registrar.</w:t>
      </w:r>
    </w:p>
    <w:p w14:paraId="70FC096B" w14:textId="77777777" w:rsidR="00F62CB9" w:rsidRDefault="00F62CB9" w:rsidP="002F3CAA">
      <w:pPr>
        <w:numPr>
          <w:ilvl w:val="0"/>
          <w:numId w:val="22"/>
        </w:numPr>
        <w:suppressAutoHyphens/>
        <w:spacing w:before="100" w:beforeAutospacing="1" w:after="100" w:afterAutospacing="1" w:line="276" w:lineRule="auto"/>
        <w:contextualSpacing/>
        <w:rPr>
          <w:szCs w:val="22"/>
        </w:rPr>
      </w:pPr>
      <w:r>
        <w:rPr>
          <w:szCs w:val="22"/>
        </w:rPr>
        <w:t>P/P service providers should use commercially reasonable efforts to avoid the need to disclose underlying customer data in the process of renewing, transferring or restoring a domain name.</w:t>
      </w:r>
    </w:p>
    <w:p w14:paraId="10023128" w14:textId="77777777" w:rsidR="00F62CB9" w:rsidRDefault="00F62CB9" w:rsidP="002F3CAA">
      <w:pPr>
        <w:numPr>
          <w:ilvl w:val="0"/>
          <w:numId w:val="22"/>
        </w:numPr>
        <w:suppressAutoHyphens/>
        <w:spacing w:before="100" w:beforeAutospacing="1" w:after="100" w:afterAutospacing="1" w:line="276" w:lineRule="auto"/>
        <w:contextualSpacing/>
        <w:rPr>
          <w:szCs w:val="22"/>
        </w:rPr>
      </w:pPr>
      <w:r>
        <w:rPr>
          <w:szCs w:val="22"/>
        </w:rPr>
        <w:t xml:space="preserve">P/P service providers should include in their terms of service a link or other direction to the ICANN website (or other ICANN-approved online location such as the provider’s own website) where a person may look up the authoritative definitions and meanings of specific terms such as Disclosure or Publication. </w:t>
      </w:r>
    </w:p>
    <w:p w14:paraId="3F247292" w14:textId="77777777" w:rsidR="00F62CB9" w:rsidRDefault="00F62CB9" w:rsidP="002F3CAA">
      <w:pPr>
        <w:spacing w:before="100" w:beforeAutospacing="1" w:after="100" w:afterAutospacing="1" w:line="276" w:lineRule="auto"/>
        <w:contextualSpacing/>
        <w:rPr>
          <w:szCs w:val="22"/>
        </w:rPr>
      </w:pPr>
    </w:p>
    <w:p w14:paraId="744C16DD" w14:textId="77777777" w:rsidR="00F62CB9" w:rsidRDefault="00F62CB9" w:rsidP="002F3CAA">
      <w:pPr>
        <w:spacing w:before="100" w:beforeAutospacing="1" w:after="100" w:afterAutospacing="1" w:line="276" w:lineRule="auto"/>
        <w:contextualSpacing/>
        <w:rPr>
          <w:szCs w:val="22"/>
        </w:rPr>
      </w:pPr>
      <w:r>
        <w:rPr>
          <w:szCs w:val="22"/>
          <w:u w:val="single"/>
        </w:rPr>
        <w:t>CONTACTABILITY &amp; RESPONSIVENESS OF PRIVACY &amp; PROXY SERVICE PROVIDERS</w:t>
      </w:r>
      <w:r>
        <w:rPr>
          <w:szCs w:val="22"/>
        </w:rPr>
        <w:t>:</w:t>
      </w:r>
    </w:p>
    <w:p w14:paraId="26161599" w14:textId="77777777" w:rsidR="00F62CB9" w:rsidRDefault="00F62CB9" w:rsidP="002F3CAA">
      <w:pPr>
        <w:spacing w:before="100" w:beforeAutospacing="1" w:after="100" w:afterAutospacing="1" w:line="276" w:lineRule="auto"/>
        <w:contextualSpacing/>
        <w:rPr>
          <w:szCs w:val="22"/>
        </w:rPr>
      </w:pPr>
    </w:p>
    <w:p w14:paraId="3847450E" w14:textId="77777777" w:rsidR="00F62CB9" w:rsidRDefault="00F62CB9" w:rsidP="002F3CAA">
      <w:pPr>
        <w:numPr>
          <w:ilvl w:val="0"/>
          <w:numId w:val="21"/>
        </w:numPr>
        <w:suppressAutoHyphens/>
        <w:spacing w:before="100" w:beforeAutospacing="1" w:after="100" w:afterAutospacing="1" w:line="276" w:lineRule="auto"/>
        <w:contextualSpacing/>
        <w:rPr>
          <w:rFonts w:eastAsia="MS Mincho" w:cs="Calibri"/>
          <w:bCs/>
          <w:iCs/>
          <w:szCs w:val="22"/>
        </w:rPr>
      </w:pPr>
      <w:r>
        <w:rPr>
          <w:rFonts w:eastAsia="MS Mincho" w:cs="Calibri"/>
          <w:bCs/>
          <w:iCs/>
          <w:szCs w:val="22"/>
        </w:rPr>
        <w:t>ICANN should publish and maintain a publicly accessible list of all accredited P/P service providers, with all appropriate contact information. Registrars should be advised to provide a web link to P/P services run by them or their Affiliates as a best practice. P/P service providers should declare their Affiliation with a registrar (if any) as a requirement of the accreditation program</w:t>
      </w:r>
      <w:r>
        <w:rPr>
          <w:rStyle w:val="FootnoteReference"/>
          <w:rFonts w:eastAsia="MS Mincho" w:cs="Calibri"/>
          <w:bCs/>
          <w:iCs/>
          <w:szCs w:val="22"/>
        </w:rPr>
        <w:footnoteReference w:id="11"/>
      </w:r>
      <w:r>
        <w:rPr>
          <w:rFonts w:eastAsia="MS Mincho" w:cs="Calibri"/>
          <w:bCs/>
          <w:iCs/>
          <w:szCs w:val="22"/>
        </w:rPr>
        <w:t>.</w:t>
      </w:r>
    </w:p>
    <w:p w14:paraId="213105F3" w14:textId="77777777" w:rsidR="00F62CB9" w:rsidRDefault="00F62CB9" w:rsidP="002F3CAA">
      <w:pPr>
        <w:spacing w:before="100" w:beforeAutospacing="1" w:after="100" w:afterAutospacing="1" w:line="276" w:lineRule="auto"/>
        <w:contextualSpacing/>
        <w:rPr>
          <w:rFonts w:eastAsia="MS Mincho" w:cs="Calibri"/>
          <w:bCs/>
          <w:iCs/>
          <w:szCs w:val="22"/>
        </w:rPr>
      </w:pPr>
    </w:p>
    <w:p w14:paraId="70BE0946"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P/P service providers must maintain a point of contact for abuse reporting purposes. In this regard, a “designated” rather than a “dedicated” point of contact will be sufficient, since the primary concern is to have one contact point that third parties can go to and expect a response from. For clarification, the WG notes that as long as the requirement for a single point of contact can be fulfilled operationally, it is not mandating that a provider designate a specific individual to handle such reports.</w:t>
      </w:r>
    </w:p>
    <w:p w14:paraId="4576C601" w14:textId="77777777" w:rsidR="00F62CB9" w:rsidRDefault="00F62CB9" w:rsidP="002F3CAA">
      <w:pPr>
        <w:spacing w:before="100" w:beforeAutospacing="1" w:after="100" w:afterAutospacing="1" w:line="276" w:lineRule="auto"/>
        <w:contextualSpacing/>
        <w:rPr>
          <w:szCs w:val="22"/>
        </w:rPr>
      </w:pPr>
    </w:p>
    <w:p w14:paraId="7896ECB3"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P/P service providers should be fully contactable, through the publication of contact details on their websites in a manner modelled after Section 2.3 of the 2013 RAA </w:t>
      </w:r>
      <w:hyperlink r:id="rId30" w:anchor="privacy-proxy" w:history="1">
        <w:r>
          <w:rPr>
            <w:rStyle w:val="Hyperlink"/>
            <w:szCs w:val="22"/>
          </w:rPr>
          <w:t>Specification on Privacy and Proxy Registrations</w:t>
        </w:r>
      </w:hyperlink>
      <w:r w:rsidRPr="00105697">
        <w:rPr>
          <w:rStyle w:val="Hyperlink"/>
          <w:color w:val="000000"/>
          <w:szCs w:val="22"/>
        </w:rPr>
        <w:t>, as may be updated from time to time</w:t>
      </w:r>
      <w:r>
        <w:rPr>
          <w:szCs w:val="22"/>
        </w:rPr>
        <w:t>.</w:t>
      </w:r>
    </w:p>
    <w:p w14:paraId="51039526" w14:textId="77777777" w:rsidR="00F62CB9" w:rsidRDefault="00F62CB9" w:rsidP="002F3CAA">
      <w:pPr>
        <w:spacing w:before="100" w:beforeAutospacing="1" w:after="100" w:afterAutospacing="1" w:line="276" w:lineRule="auto"/>
        <w:contextualSpacing/>
        <w:rPr>
          <w:szCs w:val="22"/>
        </w:rPr>
      </w:pPr>
    </w:p>
    <w:p w14:paraId="117DB20B" w14:textId="77777777" w:rsidR="00F62CB9" w:rsidRDefault="00F62CB9" w:rsidP="002F3CAA">
      <w:pPr>
        <w:numPr>
          <w:ilvl w:val="0"/>
          <w:numId w:val="21"/>
        </w:numPr>
        <w:suppressAutoHyphens/>
        <w:autoSpaceDE w:val="0"/>
        <w:autoSpaceDN w:val="0"/>
        <w:adjustRightInd w:val="0"/>
        <w:spacing w:before="100" w:beforeAutospacing="1" w:after="100" w:afterAutospacing="1" w:line="276" w:lineRule="auto"/>
        <w:contextualSpacing/>
        <w:rPr>
          <w:rFonts w:eastAsia="MS Mincho" w:cs="Calibri"/>
          <w:szCs w:val="22"/>
        </w:rPr>
      </w:pPr>
      <w:r>
        <w:rPr>
          <w:rFonts w:eastAsia="MS Mincho" w:cs="Calibri"/>
          <w:szCs w:val="22"/>
        </w:rPr>
        <w:t xml:space="preserve">Requirements relating to the forms of alleged malicious conduct to be covered by the designated published point of contact at an ICANN-accredited P/P service provider should include a list of the forms of malicious conduct to be covered. These requirements should </w:t>
      </w:r>
      <w:r>
        <w:rPr>
          <w:szCs w:val="22"/>
        </w:rPr>
        <w:t xml:space="preserve">allow for enough flexibility to accommodate new types of malicious conduct. By way of example, Section 3 of the Public Interest Commitments </w:t>
      </w:r>
      <w:r>
        <w:rPr>
          <w:szCs w:val="22"/>
        </w:rPr>
        <w:lastRenderedPageBreak/>
        <w:t>(PIC) Specification</w:t>
      </w:r>
      <w:r>
        <w:rPr>
          <w:rStyle w:val="FootnoteReference"/>
          <w:szCs w:val="22"/>
        </w:rPr>
        <w:footnoteReference w:id="12"/>
      </w:r>
      <w:r>
        <w:rPr>
          <w:szCs w:val="22"/>
        </w:rPr>
        <w:t xml:space="preserve"> in the New </w:t>
      </w:r>
      <w:proofErr w:type="spellStart"/>
      <w:r>
        <w:rPr>
          <w:szCs w:val="22"/>
        </w:rPr>
        <w:t>gTLD</w:t>
      </w:r>
      <w:proofErr w:type="spellEnd"/>
      <w:r>
        <w:rPr>
          <w:szCs w:val="22"/>
        </w:rPr>
        <w:t xml:space="preserve"> Registry Agreement or Safeguard 2, Annex 1 of the GAC’s Beijing Communique</w:t>
      </w:r>
      <w:r>
        <w:rPr>
          <w:rStyle w:val="FootnoteReference"/>
          <w:szCs w:val="22"/>
        </w:rPr>
        <w:footnoteReference w:id="13"/>
      </w:r>
      <w:r>
        <w:rPr>
          <w:szCs w:val="22"/>
        </w:rPr>
        <w:t xml:space="preserve"> could serve as starting points for developing such a list.</w:t>
      </w:r>
    </w:p>
    <w:p w14:paraId="1E23FE4E" w14:textId="77777777" w:rsidR="00F62CB9" w:rsidRDefault="00F62CB9" w:rsidP="002F3CAA">
      <w:pPr>
        <w:autoSpaceDE w:val="0"/>
        <w:autoSpaceDN w:val="0"/>
        <w:adjustRightInd w:val="0"/>
        <w:spacing w:before="100" w:beforeAutospacing="1" w:after="100" w:afterAutospacing="1" w:line="276" w:lineRule="auto"/>
        <w:ind w:left="720"/>
        <w:contextualSpacing/>
        <w:rPr>
          <w:rFonts w:eastAsia="MS Mincho" w:cs="Calibri"/>
          <w:szCs w:val="22"/>
        </w:rPr>
      </w:pPr>
    </w:p>
    <w:p w14:paraId="65DFB38D" w14:textId="77777777" w:rsidR="00F62CB9" w:rsidRDefault="00F62CB9" w:rsidP="002F3CAA">
      <w:pPr>
        <w:numPr>
          <w:ilvl w:val="0"/>
          <w:numId w:val="21"/>
        </w:numPr>
        <w:suppressAutoHyphens/>
        <w:autoSpaceDE w:val="0"/>
        <w:autoSpaceDN w:val="0"/>
        <w:adjustRightInd w:val="0"/>
        <w:spacing w:before="100" w:beforeAutospacing="1" w:after="100" w:afterAutospacing="1" w:line="276" w:lineRule="auto"/>
        <w:contextualSpacing/>
        <w:rPr>
          <w:rFonts w:eastAsia="MS Mincho" w:cs="Calibri"/>
          <w:szCs w:val="22"/>
        </w:rPr>
      </w:pPr>
      <w:r>
        <w:rPr>
          <w:rFonts w:eastAsia="MS Mincho" w:cs="Calibri"/>
          <w:szCs w:val="22"/>
        </w:rPr>
        <w:t>The designated point of contact for a P/P service provider should be capable and authorized to investigate and handle abuse reports and information requests received.</w:t>
      </w:r>
    </w:p>
    <w:p w14:paraId="51F8116C" w14:textId="77777777" w:rsidR="00F62CB9" w:rsidRDefault="00F62CB9" w:rsidP="002F3CAA">
      <w:pPr>
        <w:spacing w:before="100" w:beforeAutospacing="1" w:after="100" w:afterAutospacing="1" w:line="276" w:lineRule="auto"/>
        <w:contextualSpacing/>
        <w:rPr>
          <w:rFonts w:eastAsia="MS Mincho" w:cs="Calibri"/>
          <w:szCs w:val="22"/>
        </w:rPr>
      </w:pPr>
    </w:p>
    <w:p w14:paraId="34C136F9" w14:textId="77777777" w:rsidR="00F62CB9" w:rsidRDefault="00F62CB9" w:rsidP="002F3CAA">
      <w:pPr>
        <w:spacing w:before="100" w:beforeAutospacing="1" w:after="100" w:afterAutospacing="1" w:line="276" w:lineRule="auto"/>
        <w:contextualSpacing/>
        <w:rPr>
          <w:rFonts w:eastAsia="MS Mincho" w:cs="Calibri"/>
          <w:szCs w:val="22"/>
        </w:rPr>
      </w:pPr>
      <w:r>
        <w:rPr>
          <w:rFonts w:eastAsia="MS Mincho" w:cs="Calibri"/>
          <w:szCs w:val="22"/>
          <w:u w:val="single"/>
        </w:rPr>
        <w:t>STANDARD FORM &amp; REQUIREMENTS FOR ABUSE REPORTING &amp; INFORMATION REQUESTS</w:t>
      </w:r>
      <w:r>
        <w:rPr>
          <w:rFonts w:eastAsia="MS Mincho" w:cs="Calibri"/>
          <w:szCs w:val="22"/>
        </w:rPr>
        <w:t>:</w:t>
      </w:r>
    </w:p>
    <w:p w14:paraId="7366C705" w14:textId="77777777" w:rsidR="00F62CB9" w:rsidRDefault="00F62CB9" w:rsidP="002F3CAA">
      <w:pPr>
        <w:spacing w:before="100" w:beforeAutospacing="1" w:after="100" w:afterAutospacing="1" w:line="276" w:lineRule="auto"/>
        <w:contextualSpacing/>
        <w:rPr>
          <w:rFonts w:eastAsia="MS Mincho" w:cs="Calibri"/>
          <w:szCs w:val="22"/>
        </w:rPr>
      </w:pPr>
    </w:p>
    <w:p w14:paraId="48EDFF7B" w14:textId="77777777" w:rsidR="00F62CB9" w:rsidRDefault="00F62CB9" w:rsidP="002F3CAA">
      <w:pPr>
        <w:numPr>
          <w:ilvl w:val="0"/>
          <w:numId w:val="21"/>
        </w:numPr>
        <w:suppressAutoHyphens/>
        <w:spacing w:before="100" w:beforeAutospacing="1" w:after="100" w:afterAutospacing="1" w:line="276" w:lineRule="auto"/>
        <w:contextualSpacing/>
        <w:rPr>
          <w:rFonts w:eastAsia="MS Mincho" w:cs="Calibri"/>
          <w:szCs w:val="22"/>
        </w:rPr>
      </w:pPr>
      <w:r>
        <w:rPr>
          <w:rFonts w:eastAsia="MS Mincho" w:cs="Calibri"/>
          <w:szCs w:val="22"/>
        </w:rPr>
        <w:t>A uniform set of minimum mandatory criteria that must be followed for the purpose of reporting abuse and submitting requests (including requests for the Disclosure of customer information) should be developed. Forms that may be required by individual P/P service providers for this purpose should also include space for free form text</w:t>
      </w:r>
      <w:r>
        <w:rPr>
          <w:rStyle w:val="FootnoteReference"/>
          <w:rFonts w:eastAsia="MS Mincho" w:cs="Calibri"/>
          <w:szCs w:val="22"/>
        </w:rPr>
        <w:footnoteReference w:id="14"/>
      </w:r>
      <w:r>
        <w:rPr>
          <w:rFonts w:eastAsia="MS Mincho" w:cs="Calibri"/>
          <w:szCs w:val="22"/>
        </w:rPr>
        <w:t xml:space="preserve">. P/P service providers should also have the ability to “categorize” reports received, in order to facilitate responsiveness. </w:t>
      </w:r>
      <w:r>
        <w:rPr>
          <w:szCs w:val="22"/>
        </w:rPr>
        <w:t xml:space="preserve">P/P service providers must also state the applicable jurisdiction in which disputes (including any arising under the Illustrative Disclosure Framework in Annex B) should be resolved on any forms used for reporting and requesting purposes. </w:t>
      </w:r>
    </w:p>
    <w:p w14:paraId="6D6EE47A" w14:textId="77777777" w:rsidR="00F62CB9" w:rsidRDefault="00F62CB9" w:rsidP="002F3CAA">
      <w:pPr>
        <w:spacing w:before="100" w:beforeAutospacing="1" w:after="100" w:afterAutospacing="1" w:line="276" w:lineRule="auto"/>
        <w:contextualSpacing/>
        <w:rPr>
          <w:rFonts w:eastAsia="MS Mincho" w:cs="Calibri"/>
          <w:szCs w:val="22"/>
          <w:u w:val="single"/>
        </w:rPr>
      </w:pPr>
    </w:p>
    <w:p w14:paraId="52401182" w14:textId="77777777" w:rsidR="00F62CB9" w:rsidRDefault="00F62CB9" w:rsidP="002F3CAA">
      <w:pPr>
        <w:spacing w:before="100" w:beforeAutospacing="1" w:after="100" w:afterAutospacing="1" w:line="276" w:lineRule="auto"/>
        <w:contextualSpacing/>
        <w:rPr>
          <w:rFonts w:eastAsia="MS Mincho" w:cs="Calibri"/>
          <w:szCs w:val="22"/>
        </w:rPr>
      </w:pPr>
      <w:r>
        <w:rPr>
          <w:rFonts w:eastAsia="MS Mincho" w:cs="Calibri"/>
          <w:szCs w:val="22"/>
          <w:u w:val="single"/>
        </w:rPr>
        <w:t>RELAYING (FORWARDING) OF THIRD PARTY REQUESTS</w:t>
      </w:r>
      <w:r>
        <w:rPr>
          <w:rFonts w:eastAsia="MS Mincho" w:cs="Calibri"/>
          <w:szCs w:val="22"/>
        </w:rPr>
        <w:t>:</w:t>
      </w:r>
    </w:p>
    <w:p w14:paraId="7EEC855C" w14:textId="77777777" w:rsidR="00F62CB9" w:rsidRDefault="00F62CB9" w:rsidP="002F3CAA">
      <w:pPr>
        <w:spacing w:before="100" w:beforeAutospacing="1" w:after="100" w:afterAutospacing="1" w:line="276" w:lineRule="auto"/>
        <w:contextualSpacing/>
        <w:rPr>
          <w:rFonts w:eastAsia="MS Mincho" w:cs="Calibri"/>
          <w:szCs w:val="22"/>
        </w:rPr>
      </w:pPr>
    </w:p>
    <w:p w14:paraId="52C51228"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Regarding Relaying of Electronic Communications</w:t>
      </w:r>
      <w:r>
        <w:rPr>
          <w:rStyle w:val="FootnoteReference"/>
          <w:szCs w:val="22"/>
        </w:rPr>
        <w:footnoteReference w:id="15"/>
      </w:r>
      <w:r>
        <w:rPr>
          <w:szCs w:val="22"/>
        </w:rPr>
        <w:t>:</w:t>
      </w:r>
    </w:p>
    <w:p w14:paraId="6D566C8F" w14:textId="77777777" w:rsidR="00F62CB9" w:rsidRDefault="00F62CB9" w:rsidP="002F3CAA">
      <w:pPr>
        <w:spacing w:before="100" w:beforeAutospacing="1" w:after="100" w:afterAutospacing="1" w:line="276" w:lineRule="auto"/>
        <w:ind w:left="360"/>
        <w:contextualSpacing/>
        <w:rPr>
          <w:szCs w:val="22"/>
        </w:rPr>
      </w:pPr>
    </w:p>
    <w:p w14:paraId="278F9699" w14:textId="77777777" w:rsidR="00F62CB9" w:rsidRDefault="00F62CB9" w:rsidP="002F3CAA">
      <w:pPr>
        <w:numPr>
          <w:ilvl w:val="0"/>
          <w:numId w:val="23"/>
        </w:numPr>
        <w:suppressAutoHyphens/>
        <w:spacing w:before="100" w:beforeAutospacing="1" w:after="100" w:afterAutospacing="1" w:line="276" w:lineRule="auto"/>
        <w:contextualSpacing/>
        <w:rPr>
          <w:szCs w:val="22"/>
        </w:rPr>
      </w:pPr>
      <w:r>
        <w:rPr>
          <w:szCs w:val="22"/>
        </w:rPr>
        <w:t>All communications required by the RAA and ICANN Consensus Policies must be Relayed.</w:t>
      </w:r>
    </w:p>
    <w:p w14:paraId="4A912DBE" w14:textId="77777777" w:rsidR="00F62CB9" w:rsidRDefault="00F62CB9" w:rsidP="002F3CAA">
      <w:pPr>
        <w:numPr>
          <w:ilvl w:val="0"/>
          <w:numId w:val="23"/>
        </w:numPr>
        <w:suppressAutoHyphens/>
        <w:spacing w:before="100" w:beforeAutospacing="1" w:after="100" w:afterAutospacing="1" w:line="276" w:lineRule="auto"/>
        <w:contextualSpacing/>
        <w:rPr>
          <w:szCs w:val="22"/>
        </w:rPr>
      </w:pPr>
      <w:r>
        <w:rPr>
          <w:szCs w:val="22"/>
        </w:rPr>
        <w:lastRenderedPageBreak/>
        <w:t>For all other electronic communications, P/P service providers may elect one of the following two options:</w:t>
      </w:r>
    </w:p>
    <w:p w14:paraId="3E94BAC6" w14:textId="77777777" w:rsidR="00F62CB9" w:rsidRDefault="00F62CB9" w:rsidP="002F3CAA">
      <w:pPr>
        <w:numPr>
          <w:ilvl w:val="2"/>
          <w:numId w:val="21"/>
        </w:numPr>
        <w:suppressAutoHyphens/>
        <w:spacing w:before="100" w:beforeAutospacing="1" w:after="100" w:afterAutospacing="1" w:line="276" w:lineRule="auto"/>
        <w:contextualSpacing/>
        <w:rPr>
          <w:szCs w:val="22"/>
        </w:rPr>
      </w:pPr>
      <w:r>
        <w:rPr>
          <w:szCs w:val="22"/>
          <w:u w:val="single"/>
        </w:rPr>
        <w:t>Option #1</w:t>
      </w:r>
      <w:r>
        <w:rPr>
          <w:szCs w:val="22"/>
        </w:rPr>
        <w:t>: Relay all electronic requests received (including those received via emails and via web forms), but the provider may implement commercially reasonable safeguards (including CAPTCHA) to filter out spam and other forms of abusive communications, or</w:t>
      </w:r>
    </w:p>
    <w:p w14:paraId="6ACE1538" w14:textId="77777777" w:rsidR="00F62CB9" w:rsidRDefault="00F62CB9" w:rsidP="002F3CAA">
      <w:pPr>
        <w:numPr>
          <w:ilvl w:val="2"/>
          <w:numId w:val="21"/>
        </w:numPr>
        <w:suppressAutoHyphens/>
        <w:spacing w:before="100" w:beforeAutospacing="1" w:after="100" w:afterAutospacing="1" w:line="276" w:lineRule="auto"/>
        <w:contextualSpacing/>
        <w:rPr>
          <w:szCs w:val="22"/>
        </w:rPr>
      </w:pPr>
      <w:r>
        <w:rPr>
          <w:szCs w:val="22"/>
          <w:u w:val="single"/>
        </w:rPr>
        <w:t>Option #2</w:t>
      </w:r>
      <w:r>
        <w:rPr>
          <w:szCs w:val="22"/>
        </w:rPr>
        <w:t>: Relay all electronic requests received (including those received via emails and web forms) from law enforcement authorities and third parties containing allegations of domain name abuse (i.e. illegal activity)</w:t>
      </w:r>
    </w:p>
    <w:p w14:paraId="7F10F6A2" w14:textId="77777777" w:rsidR="00F62CB9" w:rsidRDefault="00F62CB9" w:rsidP="002F3CAA">
      <w:pPr>
        <w:numPr>
          <w:ilvl w:val="0"/>
          <w:numId w:val="24"/>
        </w:numPr>
        <w:suppressAutoHyphens/>
        <w:spacing w:before="100" w:beforeAutospacing="1" w:after="100" w:afterAutospacing="1" w:line="276" w:lineRule="auto"/>
        <w:contextualSpacing/>
        <w:rPr>
          <w:szCs w:val="22"/>
        </w:rPr>
      </w:pPr>
      <w:r>
        <w:rPr>
          <w:szCs w:val="22"/>
        </w:rPr>
        <w:t>In all cases, P/P service providers must publish and maintain a mechanism (e.g. designated email point of contact) for Requesters to contact to follow up on or escalate their original requests.</w:t>
      </w:r>
    </w:p>
    <w:p w14:paraId="48D29744" w14:textId="77777777" w:rsidR="00F62CB9" w:rsidRDefault="00F62CB9" w:rsidP="002F3CAA">
      <w:pPr>
        <w:spacing w:before="100" w:beforeAutospacing="1" w:after="100" w:afterAutospacing="1" w:line="276" w:lineRule="auto"/>
        <w:contextualSpacing/>
        <w:rPr>
          <w:szCs w:val="22"/>
        </w:rPr>
      </w:pPr>
    </w:p>
    <w:p w14:paraId="5201F3A1"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Regarding Further Provider Actions When There Is </w:t>
      </w:r>
      <w:proofErr w:type="gramStart"/>
      <w:r>
        <w:rPr>
          <w:szCs w:val="22"/>
        </w:rPr>
        <w:t>A</w:t>
      </w:r>
      <w:proofErr w:type="gramEnd"/>
      <w:r>
        <w:rPr>
          <w:szCs w:val="22"/>
        </w:rPr>
        <w:t xml:space="preserve"> Persistent Delivery Failure of Electronic Communications:</w:t>
      </w:r>
    </w:p>
    <w:p w14:paraId="2FEC3EDB" w14:textId="77777777" w:rsidR="00F62CB9" w:rsidRDefault="00F62CB9" w:rsidP="002F3CAA">
      <w:pPr>
        <w:autoSpaceDE w:val="0"/>
        <w:autoSpaceDN w:val="0"/>
        <w:adjustRightInd w:val="0"/>
        <w:spacing w:before="100" w:beforeAutospacing="1" w:after="100" w:afterAutospacing="1" w:line="276" w:lineRule="auto"/>
        <w:contextualSpacing/>
        <w:rPr>
          <w:szCs w:val="22"/>
          <w:u w:val="single"/>
        </w:rPr>
      </w:pPr>
    </w:p>
    <w:p w14:paraId="15342975" w14:textId="77777777" w:rsidR="00F62CB9" w:rsidRDefault="00F62CB9" w:rsidP="002F3CAA">
      <w:pPr>
        <w:numPr>
          <w:ilvl w:val="0"/>
          <w:numId w:val="24"/>
        </w:numPr>
        <w:suppressAutoHyphens/>
        <w:autoSpaceDE w:val="0"/>
        <w:autoSpaceDN w:val="0"/>
        <w:adjustRightInd w:val="0"/>
        <w:spacing w:before="100" w:beforeAutospacing="1" w:after="100" w:afterAutospacing="1" w:line="276" w:lineRule="auto"/>
        <w:contextualSpacing/>
        <w:rPr>
          <w:rFonts w:cs="Calibri"/>
          <w:szCs w:val="22"/>
        </w:rPr>
      </w:pPr>
      <w:r>
        <w:rPr>
          <w:rFonts w:cs="Calibri"/>
          <w:bCs/>
          <w:iCs/>
          <w:szCs w:val="22"/>
        </w:rPr>
        <w:t>All third party electronic requests alleging abuse by a P/P service customer will be promptly Relayed to the customer. A Requester will be promptly notified of a persistent failure of delivery</w:t>
      </w:r>
      <w:r>
        <w:rPr>
          <w:rStyle w:val="FootnoteReference"/>
          <w:rFonts w:cs="Calibri"/>
          <w:bCs/>
          <w:iCs/>
          <w:szCs w:val="22"/>
        </w:rPr>
        <w:footnoteReference w:id="16"/>
      </w:r>
      <w:r>
        <w:rPr>
          <w:rFonts w:cs="Calibri"/>
          <w:bCs/>
          <w:iCs/>
          <w:szCs w:val="22"/>
        </w:rPr>
        <w:t xml:space="preserve"> that a P/P service provider becomes aware of. </w:t>
      </w:r>
    </w:p>
    <w:p w14:paraId="0D273570" w14:textId="77777777" w:rsidR="00F62CB9" w:rsidRPr="00C2278A" w:rsidRDefault="00F62CB9" w:rsidP="002F3CAA">
      <w:pPr>
        <w:numPr>
          <w:ilvl w:val="0"/>
          <w:numId w:val="24"/>
        </w:numPr>
        <w:suppressAutoHyphens/>
        <w:autoSpaceDE w:val="0"/>
        <w:autoSpaceDN w:val="0"/>
        <w:adjustRightInd w:val="0"/>
        <w:spacing w:before="100" w:beforeAutospacing="1" w:after="100" w:afterAutospacing="1" w:line="276" w:lineRule="auto"/>
        <w:contextualSpacing/>
        <w:rPr>
          <w:rFonts w:cs="Calibri"/>
          <w:szCs w:val="22"/>
        </w:rPr>
      </w:pPr>
      <w:r>
        <w:rPr>
          <w:szCs w:val="22"/>
        </w:rPr>
        <w:t>The WG considers that a “persistent delivery failure” will have occurred when an electronic communications system abandons or otherwise stops attempting to deliver an electronic communication to a customer after a certain number of repeated or duplicate delivery attempts within a reasonable period of time. The WG emphasizes that such persistent delivery failure, in and of itself, is not sufficient to trigger further provider obligation or action in relation to a relay request unless the provider also becomes aware of the persistent delivery failure.</w:t>
      </w:r>
    </w:p>
    <w:p w14:paraId="3439CB8D" w14:textId="77777777" w:rsidR="00F62CB9" w:rsidRPr="00C2278A" w:rsidRDefault="00F62CB9" w:rsidP="002F3CAA">
      <w:pPr>
        <w:numPr>
          <w:ilvl w:val="0"/>
          <w:numId w:val="24"/>
        </w:numPr>
        <w:suppressAutoHyphens/>
        <w:autoSpaceDE w:val="0"/>
        <w:autoSpaceDN w:val="0"/>
        <w:adjustRightInd w:val="0"/>
        <w:spacing w:before="100" w:beforeAutospacing="1" w:after="100" w:afterAutospacing="1" w:line="276" w:lineRule="auto"/>
        <w:contextualSpacing/>
        <w:rPr>
          <w:rFonts w:cs="Calibri"/>
          <w:szCs w:val="22"/>
        </w:rPr>
      </w:pPr>
      <w:r w:rsidRPr="00BB19C5">
        <w:rPr>
          <w:szCs w:val="22"/>
        </w:rPr>
        <w:t xml:space="preserve">As part of an escalation process, and when the above-mentioned requirements concerning a persistent delivery failure of an electronic communication have been met, the provider should upon request </w:t>
      </w:r>
      <w:r>
        <w:rPr>
          <w:szCs w:val="22"/>
        </w:rPr>
        <w:t>Relay</w:t>
      </w:r>
      <w:r w:rsidRPr="00BB19C5">
        <w:rPr>
          <w:szCs w:val="22"/>
        </w:rPr>
        <w:t xml:space="preserve"> a further form of notice to its customer. A provider should have the discretion to select the most appropriate means of </w:t>
      </w:r>
      <w:r>
        <w:rPr>
          <w:szCs w:val="22"/>
        </w:rPr>
        <w:t>Relaying</w:t>
      </w:r>
      <w:r w:rsidRPr="00BB19C5">
        <w:rPr>
          <w:szCs w:val="22"/>
        </w:rPr>
        <w:t xml:space="preserve"> such a request. A provider shall have the right to impose reasonable limits on the number of such requests made by the same Requester for the same domain name.</w:t>
      </w:r>
    </w:p>
    <w:p w14:paraId="2842AD1A" w14:textId="77777777" w:rsidR="00F62CB9" w:rsidRDefault="00F62CB9" w:rsidP="002F3CAA">
      <w:pPr>
        <w:numPr>
          <w:ilvl w:val="0"/>
          <w:numId w:val="24"/>
        </w:numPr>
        <w:suppressAutoHyphens/>
        <w:spacing w:before="100" w:beforeAutospacing="1" w:after="100" w:afterAutospacing="1" w:line="276" w:lineRule="auto"/>
        <w:contextualSpacing/>
        <w:rPr>
          <w:szCs w:val="22"/>
        </w:rPr>
      </w:pPr>
      <w:r>
        <w:rPr>
          <w:szCs w:val="22"/>
        </w:rPr>
        <w:t>When a service provider becomes aware of a persistent delivery failure to a customer as described herein, that will trigger the P/P service provider’s obligation to perform a verification/re-verification (as applicable) of the customer’s email address(</w:t>
      </w:r>
      <w:proofErr w:type="spellStart"/>
      <w:r>
        <w:rPr>
          <w:szCs w:val="22"/>
        </w:rPr>
        <w:t>es</w:t>
      </w:r>
      <w:proofErr w:type="spellEnd"/>
      <w:r>
        <w:rPr>
          <w:szCs w:val="22"/>
        </w:rPr>
        <w:t xml:space="preserve">), in accordance with the WG’s recommendation that customer data be validated and verified in a manner consistent with the WHOIS Accuracy Specification of the 2013 RAA (see the WG’s </w:t>
      </w:r>
      <w:r w:rsidRPr="0011292F">
        <w:rPr>
          <w:szCs w:val="22"/>
        </w:rPr>
        <w:t xml:space="preserve">Recommendation </w:t>
      </w:r>
      <w:r w:rsidRPr="0011292F">
        <w:rPr>
          <w:szCs w:val="22"/>
        </w:rPr>
        <w:lastRenderedPageBreak/>
        <w:t>#5, above, and the background discussion</w:t>
      </w:r>
      <w:r>
        <w:rPr>
          <w:szCs w:val="22"/>
        </w:rPr>
        <w:t xml:space="preserve"> under Category B, Question 2 in Section 7, below).</w:t>
      </w:r>
    </w:p>
    <w:p w14:paraId="20F77FDC" w14:textId="77777777" w:rsidR="00F62CB9" w:rsidRDefault="00F62CB9" w:rsidP="002F3CAA">
      <w:pPr>
        <w:numPr>
          <w:ilvl w:val="0"/>
          <w:numId w:val="24"/>
        </w:numPr>
        <w:suppressAutoHyphens/>
        <w:spacing w:before="100" w:beforeAutospacing="1" w:after="100" w:afterAutospacing="1" w:line="276" w:lineRule="auto"/>
        <w:contextualSpacing/>
        <w:rPr>
          <w:szCs w:val="22"/>
        </w:rPr>
      </w:pPr>
      <w:r>
        <w:rPr>
          <w:szCs w:val="22"/>
        </w:rPr>
        <w:t>However, these recommendations shall not preclude a P/P service provider from taking any additional action in the event of a persistent delivery failure of electronic communications to a customer, in accordance with its published terms of service.</w:t>
      </w:r>
    </w:p>
    <w:p w14:paraId="51F0E45A" w14:textId="77777777" w:rsidR="00F62CB9" w:rsidRDefault="00F62CB9" w:rsidP="002F3CAA">
      <w:pPr>
        <w:spacing w:before="100" w:beforeAutospacing="1" w:after="100" w:afterAutospacing="1" w:line="276" w:lineRule="auto"/>
        <w:ind w:left="360"/>
        <w:contextualSpacing/>
        <w:rPr>
          <w:szCs w:val="22"/>
        </w:rPr>
      </w:pPr>
    </w:p>
    <w:p w14:paraId="21752AD6" w14:textId="77777777" w:rsidR="00F62CB9" w:rsidRDefault="00F62CB9" w:rsidP="002F3CAA">
      <w:pPr>
        <w:spacing w:before="100" w:beforeAutospacing="1" w:after="100" w:afterAutospacing="1" w:line="276" w:lineRule="auto"/>
        <w:ind w:left="360"/>
        <w:contextualSpacing/>
        <w:rPr>
          <w:szCs w:val="22"/>
        </w:rPr>
      </w:pPr>
      <w:r>
        <w:rPr>
          <w:szCs w:val="22"/>
          <w:u w:val="single"/>
        </w:rPr>
        <w:t>DISCLOSURE OR PUBLICATION OF A CUSTOMER’S IDENTITY OR CONTACT DETAILS</w:t>
      </w:r>
      <w:r>
        <w:rPr>
          <w:szCs w:val="22"/>
        </w:rPr>
        <w:t>:</w:t>
      </w:r>
    </w:p>
    <w:p w14:paraId="26F91AED" w14:textId="77777777" w:rsidR="00F62CB9" w:rsidRDefault="00F62CB9" w:rsidP="002F3CAA">
      <w:pPr>
        <w:spacing w:before="100" w:beforeAutospacing="1" w:after="100" w:afterAutospacing="1" w:line="276" w:lineRule="auto"/>
        <w:contextualSpacing/>
        <w:rPr>
          <w:szCs w:val="22"/>
        </w:rPr>
      </w:pPr>
    </w:p>
    <w:p w14:paraId="3D8ABF01"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Regarding Disclosure and Publication, the WG agreed that none of its recommendations should be read as being intended to alter (or mandate the alteration of) the prevailing practice among P/P service providers to review requests manually or to facilitate direct resolution of an issue between a Requester and a P/P service customer.   It also notes that disclosure of at least some contact details of the customer may in some cases be required in order to facilitate such direct resolution. In relation to Publication that is subsequently discovered to be unwarranted, the WG believes that </w:t>
      </w:r>
      <w:r w:rsidRPr="0043143F">
        <w:rPr>
          <w:bCs/>
          <w:szCs w:val="22"/>
        </w:rPr>
        <w:t xml:space="preserve">contractual agreements between providers and their customers and relevant applicable laws </w:t>
      </w:r>
      <w:r>
        <w:rPr>
          <w:bCs/>
          <w:szCs w:val="22"/>
        </w:rPr>
        <w:t xml:space="preserve">will govern, </w:t>
      </w:r>
      <w:r w:rsidRPr="0043143F">
        <w:rPr>
          <w:bCs/>
          <w:szCs w:val="22"/>
        </w:rPr>
        <w:t xml:space="preserve">and </w:t>
      </w:r>
      <w:r>
        <w:rPr>
          <w:bCs/>
          <w:szCs w:val="22"/>
        </w:rPr>
        <w:t xml:space="preserve">are likely to provide </w:t>
      </w:r>
      <w:r w:rsidRPr="0043143F">
        <w:rPr>
          <w:bCs/>
          <w:szCs w:val="22"/>
        </w:rPr>
        <w:t>sufficient</w:t>
      </w:r>
      <w:r>
        <w:rPr>
          <w:bCs/>
          <w:szCs w:val="22"/>
        </w:rPr>
        <w:t xml:space="preserve"> remedies in such instances.</w:t>
      </w:r>
    </w:p>
    <w:p w14:paraId="0ECE5917" w14:textId="77777777" w:rsidR="00F62CB9" w:rsidRDefault="00F62CB9" w:rsidP="002F3CAA">
      <w:pPr>
        <w:spacing w:before="100" w:beforeAutospacing="1" w:after="100" w:afterAutospacing="1" w:line="276" w:lineRule="auto"/>
        <w:ind w:left="720"/>
        <w:contextualSpacing/>
        <w:rPr>
          <w:szCs w:val="22"/>
        </w:rPr>
      </w:pPr>
    </w:p>
    <w:p w14:paraId="1D3C8506"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 xml:space="preserve">The WG has developed an illustrative Disclosure Framework to apply to Disclosure requests made to P/P service providers by intellectual property (i.e. trademark and copyright) owners. The proposal includes requirements concerning the nature and type of information to be provided by a Requester, non-exhaustive grounds for refusal of a request, and the possibility of neutral dispute resolution/appeal in the event of a dispute. The WG recommends that </w:t>
      </w:r>
      <w:r w:rsidRPr="00E41FAA">
        <w:rPr>
          <w:szCs w:val="22"/>
        </w:rPr>
        <w:t xml:space="preserve">a review </w:t>
      </w:r>
      <w:r>
        <w:rPr>
          <w:szCs w:val="22"/>
        </w:rPr>
        <w:t xml:space="preserve">of this Disclosure Framework </w:t>
      </w:r>
      <w:r w:rsidRPr="00E41FAA">
        <w:rPr>
          <w:szCs w:val="22"/>
        </w:rPr>
        <w:t xml:space="preserve">be conducted </w:t>
      </w:r>
      <w:r>
        <w:rPr>
          <w:szCs w:val="22"/>
        </w:rPr>
        <w:t xml:space="preserve">at an appropriate time </w:t>
      </w:r>
      <w:r w:rsidRPr="00E41FAA">
        <w:rPr>
          <w:szCs w:val="22"/>
        </w:rPr>
        <w:t xml:space="preserve">after the launch of the </w:t>
      </w:r>
      <w:r>
        <w:rPr>
          <w:szCs w:val="22"/>
        </w:rPr>
        <w:t>p</w:t>
      </w:r>
      <w:r w:rsidRPr="00E41FAA">
        <w:rPr>
          <w:szCs w:val="22"/>
        </w:rPr>
        <w:t xml:space="preserve">rogram and </w:t>
      </w:r>
      <w:r>
        <w:rPr>
          <w:szCs w:val="22"/>
        </w:rPr>
        <w:t>periodically</w:t>
      </w:r>
      <w:r w:rsidRPr="00E41FAA">
        <w:rPr>
          <w:szCs w:val="22"/>
        </w:rPr>
        <w:t xml:space="preserve"> thereafter, to determine if the implemented recommendations meet the policy objectives for which they were developed. Such a review might be based on the non-exhaustive list of guiding principles developed by the GNSO’s Data and Metrics for Policy Making (DMPM) WG</w:t>
      </w:r>
      <w:r>
        <w:rPr>
          <w:szCs w:val="22"/>
        </w:rPr>
        <w:t>, as adopted by the GNSO Council and ICANN Board</w:t>
      </w:r>
      <w:r w:rsidRPr="00E41FAA">
        <w:rPr>
          <w:szCs w:val="22"/>
        </w:rPr>
        <w:t>. As noted by the DMPM WG, relevant metrics could include industry sources, community input via public comment or surveys or studies. In terms of surveys (whether or providers, customers or requesters), data should be anonymized and aggregated.</w:t>
      </w:r>
      <w:r>
        <w:rPr>
          <w:szCs w:val="22"/>
        </w:rPr>
        <w:t xml:space="preserve"> Please refer to Annex B for the full Disclosure Framework.</w:t>
      </w:r>
    </w:p>
    <w:p w14:paraId="35C7FD77" w14:textId="77777777" w:rsidR="00F62CB9" w:rsidRDefault="00F62CB9" w:rsidP="002F3CAA">
      <w:pPr>
        <w:spacing w:before="100" w:beforeAutospacing="1" w:after="100" w:afterAutospacing="1" w:line="276" w:lineRule="auto"/>
        <w:ind w:left="360"/>
        <w:contextualSpacing/>
        <w:rPr>
          <w:szCs w:val="22"/>
        </w:rPr>
      </w:pPr>
    </w:p>
    <w:p w14:paraId="5453803E"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sidRPr="00C2278A">
        <w:rPr>
          <w:szCs w:val="22"/>
        </w:rPr>
        <w:t xml:space="preserve">Although the WG </w:t>
      </w:r>
      <w:r>
        <w:rPr>
          <w:szCs w:val="22"/>
        </w:rPr>
        <w:t>has reached consensus on an illustrative</w:t>
      </w:r>
      <w:r w:rsidRPr="00C2278A">
        <w:rPr>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r>
        <w:rPr>
          <w:szCs w:val="22"/>
        </w:rPr>
        <w:t>-</w:t>
      </w:r>
      <w:r w:rsidRPr="00C2278A">
        <w:rPr>
          <w:szCs w:val="22"/>
        </w:rPr>
        <w:t>going LEA investigation, may mean that different considerations would apply to any minimum requirements that might be developed for such a framework</w:t>
      </w:r>
      <w:r>
        <w:rPr>
          <w:szCs w:val="22"/>
        </w:rPr>
        <w:t xml:space="preserve">. In this regard, in its Initial Report the WG had sought community feedback on specific concerns relating to the handling of LEA requests, such as whether or not providers </w:t>
      </w:r>
      <w:r>
        <w:rPr>
          <w:szCs w:val="22"/>
        </w:rPr>
        <w:lastRenderedPageBreak/>
        <w:t xml:space="preserve">should be mandated to comply with them. Based on input received, the WG recommends that </w:t>
      </w:r>
      <w:r w:rsidRPr="0043143F">
        <w:rPr>
          <w:szCs w:val="22"/>
        </w:rPr>
        <w:t xml:space="preserve">accredited P/P service providers should comply with express requests from LEA not to notify a customer where this is required by applicable law. However, this recommendation is not intended to </w:t>
      </w:r>
      <w:r w:rsidRPr="00BB19C5">
        <w:rPr>
          <w:szCs w:val="22"/>
        </w:rPr>
        <w:t xml:space="preserve">prevent providers from either </w:t>
      </w:r>
      <w:r>
        <w:rPr>
          <w:szCs w:val="22"/>
        </w:rPr>
        <w:t xml:space="preserve">voluntarily </w:t>
      </w:r>
      <w:r w:rsidRPr="00BB19C5">
        <w:rPr>
          <w:szCs w:val="22"/>
        </w:rPr>
        <w:t>adopting more stringent standards</w:t>
      </w:r>
      <w:r w:rsidRPr="0043143F">
        <w:rPr>
          <w:szCs w:val="22"/>
        </w:rPr>
        <w:t xml:space="preserve"> or from cooperating</w:t>
      </w:r>
      <w:r w:rsidRPr="00BB19C5">
        <w:rPr>
          <w:szCs w:val="22"/>
        </w:rPr>
        <w:t xml:space="preserve"> with LEA.</w:t>
      </w:r>
      <w:r>
        <w:rPr>
          <w:szCs w:val="22"/>
        </w:rPr>
        <w:t xml:space="preserve"> In the event that a Disclosure Framework is eventually developed for LEA requests, the WG recommends that the Framework expressly include requirements under which at a minimum: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Pr="003E5A32">
        <w:rPr>
          <w:szCs w:val="22"/>
        </w:rPr>
        <w:t xml:space="preserve">the </w:t>
      </w:r>
      <w:r>
        <w:rPr>
          <w:szCs w:val="22"/>
        </w:rPr>
        <w:t>c</w:t>
      </w:r>
      <w:r w:rsidRPr="003E5A32">
        <w:rPr>
          <w:szCs w:val="22"/>
        </w:rPr>
        <w:t>ustomer has provided, or the P</w:t>
      </w:r>
      <w:r>
        <w:rPr>
          <w:szCs w:val="22"/>
        </w:rPr>
        <w:t>/P service p</w:t>
      </w:r>
      <w:r w:rsidRPr="003E5A32">
        <w:rPr>
          <w:szCs w:val="22"/>
        </w:rPr>
        <w:t xml:space="preserve">rovider has found, specific information, facts, and/or circumstances showing that </w:t>
      </w:r>
      <w:r>
        <w:rPr>
          <w:szCs w:val="22"/>
        </w:rPr>
        <w:t>D</w:t>
      </w:r>
      <w:r w:rsidRPr="003E5A32">
        <w:rPr>
          <w:szCs w:val="22"/>
        </w:rPr>
        <w:t>isclosure w</w:t>
      </w:r>
      <w:r>
        <w:rPr>
          <w:szCs w:val="22"/>
        </w:rPr>
        <w:t>ill endanger the safety of the c</w:t>
      </w:r>
      <w:r w:rsidRPr="003E5A32">
        <w:rPr>
          <w:szCs w:val="22"/>
        </w:rPr>
        <w:t>ustomer</w:t>
      </w:r>
      <w:r>
        <w:rPr>
          <w:szCs w:val="22"/>
        </w:rPr>
        <w:t>.</w:t>
      </w:r>
    </w:p>
    <w:p w14:paraId="226BA557" w14:textId="77777777" w:rsidR="00F62CB9" w:rsidRDefault="00F62CB9" w:rsidP="002F3CAA">
      <w:pPr>
        <w:spacing w:before="100" w:beforeAutospacing="1" w:after="100" w:afterAutospacing="1" w:line="276" w:lineRule="auto"/>
        <w:contextualSpacing/>
        <w:rPr>
          <w:szCs w:val="22"/>
        </w:rPr>
      </w:pPr>
    </w:p>
    <w:p w14:paraId="16B2B3C7" w14:textId="77777777" w:rsidR="00F62CB9" w:rsidRDefault="00F62CB9" w:rsidP="002F3CAA">
      <w:pPr>
        <w:spacing w:before="100" w:beforeAutospacing="1" w:after="100" w:afterAutospacing="1" w:line="276" w:lineRule="auto"/>
        <w:contextualSpacing/>
        <w:rPr>
          <w:szCs w:val="22"/>
        </w:rPr>
      </w:pPr>
      <w:r>
        <w:rPr>
          <w:szCs w:val="22"/>
          <w:u w:val="single"/>
        </w:rPr>
        <w:t>DEACCREDITATION &amp; ITS CONSEQUENCES</w:t>
      </w:r>
      <w:r>
        <w:rPr>
          <w:szCs w:val="22"/>
        </w:rPr>
        <w:t>:</w:t>
      </w:r>
    </w:p>
    <w:p w14:paraId="60A7A378" w14:textId="77777777" w:rsidR="00F62CB9" w:rsidRDefault="00F62CB9" w:rsidP="002F3CAA">
      <w:pPr>
        <w:spacing w:before="100" w:beforeAutospacing="1" w:after="100" w:afterAutospacing="1" w:line="276" w:lineRule="auto"/>
        <w:contextualSpacing/>
        <w:rPr>
          <w:szCs w:val="22"/>
        </w:rPr>
      </w:pPr>
    </w:p>
    <w:p w14:paraId="1A372C0E" w14:textId="77777777" w:rsidR="00F62CB9" w:rsidRDefault="00F62CB9" w:rsidP="002F3CAA">
      <w:pPr>
        <w:numPr>
          <w:ilvl w:val="0"/>
          <w:numId w:val="21"/>
        </w:numPr>
        <w:suppressAutoHyphens/>
        <w:spacing w:before="100" w:beforeAutospacing="1" w:after="100" w:afterAutospacing="1" w:line="276" w:lineRule="auto"/>
        <w:contextualSpacing/>
        <w:rPr>
          <w:szCs w:val="22"/>
        </w:rPr>
      </w:pPr>
      <w:r>
        <w:rPr>
          <w:szCs w:val="22"/>
        </w:rPr>
        <w:t>Regarding de-accreditation of a P/P service provider:</w:t>
      </w:r>
    </w:p>
    <w:p w14:paraId="51A1D96B" w14:textId="77777777" w:rsidR="00F62CB9" w:rsidRDefault="00F62CB9" w:rsidP="002F3CAA">
      <w:pPr>
        <w:spacing w:before="100" w:beforeAutospacing="1" w:after="100" w:afterAutospacing="1" w:line="276" w:lineRule="auto"/>
        <w:contextualSpacing/>
        <w:rPr>
          <w:szCs w:val="22"/>
        </w:rPr>
      </w:pPr>
    </w:p>
    <w:p w14:paraId="491ED0E3" w14:textId="77777777" w:rsidR="00F62CB9" w:rsidRPr="007D2F8C" w:rsidRDefault="00F62CB9" w:rsidP="002F3CAA">
      <w:pPr>
        <w:spacing w:before="100" w:beforeAutospacing="1" w:after="100" w:afterAutospacing="1" w:line="276" w:lineRule="auto"/>
        <w:contextualSpacing/>
        <w:rPr>
          <w:szCs w:val="22"/>
        </w:rPr>
      </w:pPr>
      <w:r w:rsidRPr="007D2F8C">
        <w:rPr>
          <w:szCs w:val="22"/>
        </w:rPr>
        <w:t>The WG</w:t>
      </w:r>
      <w:r>
        <w:rPr>
          <w:szCs w:val="22"/>
        </w:rPr>
        <w:t xml:space="preserve"> reiterates its previous observation that increased risks to a customer’s privacy may be involved when a customer is dealing with a P/P service provider who, even if accredited by ICANN, is not Affiliated with an ICANN-accredited registrar. De-accreditation was noted as one topic where additional problems may arise. The WG therefore</w:t>
      </w:r>
      <w:r w:rsidRPr="007D2F8C">
        <w:rPr>
          <w:szCs w:val="22"/>
        </w:rPr>
        <w:t xml:space="preserve"> recommends that the following general principles be adopted and followed when </w:t>
      </w:r>
      <w:r>
        <w:rPr>
          <w:szCs w:val="22"/>
        </w:rPr>
        <w:t xml:space="preserve">a more detailed P/P service </w:t>
      </w:r>
      <w:r w:rsidRPr="007D2F8C">
        <w:rPr>
          <w:szCs w:val="22"/>
        </w:rPr>
        <w:t xml:space="preserve">de-accreditation </w:t>
      </w:r>
      <w:r>
        <w:rPr>
          <w:szCs w:val="22"/>
        </w:rPr>
        <w:t>process is</w:t>
      </w:r>
      <w:r w:rsidRPr="007D2F8C">
        <w:rPr>
          <w:szCs w:val="22"/>
        </w:rPr>
        <w:t xml:space="preserve"> developed during implementation. </w:t>
      </w:r>
      <w:r>
        <w:rPr>
          <w:szCs w:val="22"/>
        </w:rPr>
        <w:t>As with transfers of domain names that occur other than as a result of de-accreditation of a P/P service provider, t</w:t>
      </w:r>
      <w:r w:rsidRPr="007D2F8C">
        <w:rPr>
          <w:szCs w:val="22"/>
        </w:rPr>
        <w:t>hese principles are based on the WG’s belief that customer privacy should be a paramount concern. As such, reasonable safeguards to ensure that a customer’s privacy is adequately protected in the course of de-accreditation of a customer’s P/P service provider – including when transfer of a customer’s domain name or names is involved – should be integral to the rules governing the de-accreditation process.</w:t>
      </w:r>
    </w:p>
    <w:p w14:paraId="3E406756" w14:textId="77777777" w:rsidR="00F62CB9" w:rsidRPr="007D2F8C" w:rsidRDefault="00F62CB9" w:rsidP="002F3CAA">
      <w:pPr>
        <w:spacing w:before="100" w:beforeAutospacing="1" w:after="100" w:afterAutospacing="1" w:line="276" w:lineRule="auto"/>
        <w:contextualSpacing/>
        <w:rPr>
          <w:szCs w:val="22"/>
        </w:rPr>
      </w:pPr>
    </w:p>
    <w:p w14:paraId="47C92409" w14:textId="77777777" w:rsidR="00F62CB9" w:rsidRPr="007D2F8C" w:rsidRDefault="00F62CB9" w:rsidP="002F3CAA">
      <w:pPr>
        <w:spacing w:before="100" w:beforeAutospacing="1" w:after="100" w:afterAutospacing="1" w:line="276" w:lineRule="auto"/>
        <w:ind w:firstLine="720"/>
        <w:contextualSpacing/>
        <w:rPr>
          <w:szCs w:val="22"/>
        </w:rPr>
      </w:pPr>
      <w:r w:rsidRPr="007D2F8C">
        <w:rPr>
          <w:szCs w:val="22"/>
          <w:u w:val="single"/>
        </w:rPr>
        <w:t>Principle 1</w:t>
      </w:r>
      <w:r w:rsidRPr="007D2F8C">
        <w:rPr>
          <w:szCs w:val="22"/>
        </w:rPr>
        <w:t>: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w:t>
      </w:r>
      <w:r>
        <w:rPr>
          <w:szCs w:val="22"/>
        </w:rPr>
        <w:t xml:space="preserve"> </w:t>
      </w:r>
      <w:r w:rsidRPr="0011292F">
        <w:rPr>
          <w:szCs w:val="22"/>
        </w:rPr>
        <w:t>once ICANN issues a termination of accreditation notice but before the de-a</w:t>
      </w:r>
      <w:r>
        <w:rPr>
          <w:szCs w:val="22"/>
        </w:rPr>
        <w:t>ccreditation becomes effective</w:t>
      </w:r>
      <w:r w:rsidRPr="0011292F">
        <w:rPr>
          <w:szCs w:val="22"/>
        </w:rPr>
        <w:t>. The WG recommends that de-accreditation become effective for existing customers 30 days after notice of termination</w:t>
      </w:r>
      <w:r w:rsidRPr="007D2F8C">
        <w:rPr>
          <w:szCs w:val="22"/>
        </w:rPr>
        <w:t xml:space="preserve">. </w:t>
      </w:r>
      <w:r>
        <w:rPr>
          <w:szCs w:val="22"/>
        </w:rPr>
        <w:t>T</w:t>
      </w:r>
      <w:r w:rsidRPr="007D2F8C">
        <w:rPr>
          <w:szCs w:val="22"/>
        </w:rPr>
        <w:t>he WG notes that, in view of the legitimate need to protect many customers’ privacy, the mere publication of a breach notice on the ICANN website (as is now done for registrar de-accreditation) may not be sufficient</w:t>
      </w:r>
      <w:r>
        <w:rPr>
          <w:szCs w:val="22"/>
        </w:rPr>
        <w:t xml:space="preserve"> to constitute notice</w:t>
      </w:r>
      <w:r w:rsidRPr="007D2F8C">
        <w:rPr>
          <w:szCs w:val="22"/>
        </w:rPr>
        <w:t>.</w:t>
      </w:r>
    </w:p>
    <w:p w14:paraId="0A78464A" w14:textId="77777777" w:rsidR="00F62CB9" w:rsidRPr="007D2F8C" w:rsidRDefault="00F62CB9" w:rsidP="002F3CAA">
      <w:pPr>
        <w:spacing w:before="100" w:beforeAutospacing="1" w:after="100" w:afterAutospacing="1" w:line="276" w:lineRule="auto"/>
        <w:contextualSpacing/>
        <w:rPr>
          <w:szCs w:val="22"/>
        </w:rPr>
      </w:pPr>
    </w:p>
    <w:p w14:paraId="432D3044" w14:textId="77777777" w:rsidR="00F62CB9" w:rsidRPr="007D2F8C" w:rsidRDefault="00F62CB9" w:rsidP="002F3CAA">
      <w:pPr>
        <w:spacing w:before="100" w:beforeAutospacing="1" w:after="100" w:afterAutospacing="1" w:line="276" w:lineRule="auto"/>
        <w:ind w:firstLine="720"/>
        <w:contextualSpacing/>
        <w:rPr>
          <w:szCs w:val="22"/>
        </w:rPr>
      </w:pPr>
      <w:r w:rsidRPr="007D2F8C">
        <w:rPr>
          <w:szCs w:val="22"/>
          <w:u w:val="single"/>
        </w:rPr>
        <w:lastRenderedPageBreak/>
        <w:t>Principle 2</w:t>
      </w:r>
      <w:r w:rsidRPr="007D2F8C">
        <w:rPr>
          <w:szCs w:val="22"/>
        </w:rPr>
        <w:t>: Each step in the de-accreditation process should be designed so as to minimize the risk that a customer’s personally identifia</w:t>
      </w:r>
      <w:r>
        <w:rPr>
          <w:szCs w:val="22"/>
        </w:rPr>
        <w:t>ble information is made public</w:t>
      </w:r>
      <w:r w:rsidRPr="007D2F8C">
        <w:rPr>
          <w:szCs w:val="22"/>
        </w:rPr>
        <w:t xml:space="preserve">. </w:t>
      </w:r>
    </w:p>
    <w:p w14:paraId="37A18110" w14:textId="77777777" w:rsidR="00F62CB9" w:rsidRPr="007D2F8C" w:rsidRDefault="00F62CB9" w:rsidP="002F3CAA">
      <w:pPr>
        <w:spacing w:before="100" w:beforeAutospacing="1" w:after="100" w:afterAutospacing="1" w:line="276" w:lineRule="auto"/>
        <w:contextualSpacing/>
        <w:rPr>
          <w:szCs w:val="22"/>
        </w:rPr>
      </w:pPr>
    </w:p>
    <w:p w14:paraId="49E10CEB" w14:textId="77777777" w:rsidR="00F62CB9" w:rsidRDefault="00F62CB9" w:rsidP="002F3CAA">
      <w:pPr>
        <w:spacing w:before="100" w:beforeAutospacing="1" w:after="100" w:afterAutospacing="1" w:line="276" w:lineRule="auto"/>
        <w:ind w:firstLine="720"/>
        <w:contextualSpacing/>
        <w:rPr>
          <w:szCs w:val="22"/>
        </w:rPr>
      </w:pPr>
      <w:r w:rsidRPr="007D2F8C">
        <w:rPr>
          <w:szCs w:val="22"/>
          <w:u w:val="single"/>
        </w:rPr>
        <w:t>Principle 3</w:t>
      </w:r>
      <w:r w:rsidRPr="007D2F8C">
        <w:rPr>
          <w:szCs w:val="22"/>
        </w:rPr>
        <w:t>: The WG notes that the risk of inadvertent publication of a customer’s details in the course of de-accreditation may be higher when the provider in question is not Affiliated with an ICANN-accredited registrar. As such, implementation design of the de-accreditation process should take into account the different scenarios that can arise when the provider being de-accredited is, or is not, Affiliated with an ICANN-accredited registrar.</w:t>
      </w:r>
    </w:p>
    <w:p w14:paraId="59B95F7F" w14:textId="77777777" w:rsidR="00F62CB9" w:rsidRDefault="00F62CB9" w:rsidP="002F3CAA">
      <w:pPr>
        <w:spacing w:before="100" w:beforeAutospacing="1" w:after="100" w:afterAutospacing="1" w:line="276" w:lineRule="auto"/>
        <w:contextualSpacing/>
        <w:rPr>
          <w:szCs w:val="22"/>
        </w:rPr>
      </w:pPr>
    </w:p>
    <w:p w14:paraId="379179F5" w14:textId="77777777" w:rsidR="00F62CB9" w:rsidRDefault="00F62CB9" w:rsidP="002F3CAA">
      <w:pPr>
        <w:spacing w:before="100" w:beforeAutospacing="1" w:after="100" w:afterAutospacing="1" w:line="276" w:lineRule="auto"/>
        <w:contextualSpacing/>
        <w:rPr>
          <w:szCs w:val="22"/>
        </w:rPr>
      </w:pPr>
      <w:r>
        <w:rPr>
          <w:szCs w:val="22"/>
        </w:rPr>
        <w:t>In addition to the three principles outlined above, the WG recommends specifically that, where a Change of Registrant (as defined under the IRTP) takes place during the process of de-accreditation of a proxy service provider, a registrar should lift the mandatory 60-day lock at the express request of the beneficial user, provided the registrar has also been notified of the de-accreditation of the proxy service provider</w:t>
      </w:r>
      <w:r>
        <w:rPr>
          <w:rStyle w:val="FootnoteReference"/>
          <w:szCs w:val="22"/>
        </w:rPr>
        <w:footnoteReference w:id="17"/>
      </w:r>
      <w:r>
        <w:rPr>
          <w:szCs w:val="22"/>
        </w:rPr>
        <w:t>.</w:t>
      </w:r>
    </w:p>
    <w:p w14:paraId="63007847" w14:textId="77777777" w:rsidR="00F62CB9" w:rsidRDefault="00F62CB9" w:rsidP="002F3CAA">
      <w:pPr>
        <w:spacing w:line="276" w:lineRule="auto"/>
        <w:rPr>
          <w:szCs w:val="22"/>
        </w:rPr>
      </w:pPr>
    </w:p>
    <w:p w14:paraId="2413388D" w14:textId="4D0ED6AE" w:rsidR="00F62CB9" w:rsidRDefault="00F62CB9" w:rsidP="002F3CAA">
      <w:pPr>
        <w:spacing w:line="276" w:lineRule="auto"/>
        <w:rPr>
          <w:szCs w:val="22"/>
        </w:rPr>
      </w:pPr>
      <w:r>
        <w:rPr>
          <w:b/>
          <w:szCs w:val="22"/>
        </w:rPr>
        <w:t xml:space="preserve">ADDITIONAL </w:t>
      </w:r>
      <w:r w:rsidRPr="00F64121">
        <w:rPr>
          <w:b/>
          <w:szCs w:val="22"/>
        </w:rPr>
        <w:t>GENERAL RECOMMENDATIONS</w:t>
      </w:r>
    </w:p>
    <w:p w14:paraId="106D3D43" w14:textId="77777777" w:rsidR="00F62CB9" w:rsidRDefault="00F62CB9" w:rsidP="002F3CAA">
      <w:pPr>
        <w:spacing w:line="276" w:lineRule="auto"/>
        <w:rPr>
          <w:szCs w:val="22"/>
        </w:rPr>
      </w:pPr>
    </w:p>
    <w:p w14:paraId="49D3E41E" w14:textId="77777777" w:rsidR="00F62CB9" w:rsidRDefault="00F62CB9" w:rsidP="002F3CAA">
      <w:pPr>
        <w:spacing w:line="276" w:lineRule="auto"/>
        <w:rPr>
          <w:szCs w:val="22"/>
        </w:rPr>
      </w:pPr>
      <w:r>
        <w:rPr>
          <w:szCs w:val="22"/>
        </w:rPr>
        <w:t>In addition to the recommendations it developed for each of its Charter questions, the WG also recommends that the following general principles be adopted as part of the P/P service provider accreditation program.</w:t>
      </w:r>
    </w:p>
    <w:p w14:paraId="60E33640" w14:textId="77777777" w:rsidR="00F62CB9" w:rsidRDefault="00F62CB9" w:rsidP="002F3CAA">
      <w:pPr>
        <w:spacing w:line="276" w:lineRule="auto"/>
        <w:rPr>
          <w:szCs w:val="22"/>
        </w:rPr>
      </w:pPr>
    </w:p>
    <w:p w14:paraId="07A52FE9" w14:textId="77777777" w:rsidR="00F62CB9" w:rsidRPr="00276DA9" w:rsidRDefault="00F62CB9" w:rsidP="002F3CAA">
      <w:pPr>
        <w:spacing w:line="276" w:lineRule="auto"/>
        <w:rPr>
          <w:szCs w:val="22"/>
        </w:rPr>
      </w:pPr>
      <w:r>
        <w:rPr>
          <w:szCs w:val="22"/>
        </w:rPr>
        <w:t>First, t</w:t>
      </w:r>
      <w:r w:rsidRPr="00276DA9">
        <w:rPr>
          <w:szCs w:val="22"/>
        </w:rPr>
        <w:t>he next review of the IRTP should include an analysis of the impact on P/P service customers, to ensure that adequate safeguards are in place as regards P/P service protection when domain names are transferred pursuant to an IRTP process</w:t>
      </w:r>
      <w:r>
        <w:rPr>
          <w:szCs w:val="22"/>
        </w:rPr>
        <w:t>. Where a P/P service customer initiates a transfer of a domain name, the WG recognizes that a registrar should have the same flexibility that it has currently</w:t>
      </w:r>
      <w:r w:rsidRPr="00276DA9">
        <w:rPr>
          <w:szCs w:val="22"/>
        </w:rPr>
        <w:t xml:space="preserve"> to reject </w:t>
      </w:r>
      <w:r w:rsidRPr="00441603">
        <w:rPr>
          <w:iCs/>
          <w:szCs w:val="22"/>
        </w:rPr>
        <w:t>incoming</w:t>
      </w:r>
      <w:r w:rsidRPr="00276DA9">
        <w:rPr>
          <w:szCs w:val="22"/>
        </w:rPr>
        <w:t xml:space="preserve"> transfers from any </w:t>
      </w:r>
      <w:r>
        <w:rPr>
          <w:szCs w:val="22"/>
        </w:rPr>
        <w:t xml:space="preserve">individual or </w:t>
      </w:r>
      <w:r w:rsidRPr="00276DA9">
        <w:rPr>
          <w:szCs w:val="22"/>
        </w:rPr>
        <w:t xml:space="preserve">entity, including </w:t>
      </w:r>
      <w:r>
        <w:rPr>
          <w:szCs w:val="22"/>
        </w:rPr>
        <w:t>those initiated by a</w:t>
      </w:r>
      <w:r w:rsidRPr="00276DA9">
        <w:rPr>
          <w:szCs w:val="22"/>
        </w:rPr>
        <w:t xml:space="preserve">ccredited P/P </w:t>
      </w:r>
      <w:r>
        <w:rPr>
          <w:szCs w:val="22"/>
        </w:rPr>
        <w:t>s</w:t>
      </w:r>
      <w:r w:rsidRPr="00276DA9">
        <w:rPr>
          <w:szCs w:val="22"/>
        </w:rPr>
        <w:t xml:space="preserve">ervices. </w:t>
      </w:r>
      <w:r>
        <w:rPr>
          <w:szCs w:val="22"/>
        </w:rPr>
        <w:t>Nevertheless, the WG recommends that, in implementing those elements of the P/P service accreditation program that pertain to or that affect domain name transfers and in addition to its specific recommendations contained in this Final Report, ICANN should perform a general “compatibility check”</w:t>
      </w:r>
      <w:r w:rsidRPr="00276DA9">
        <w:rPr>
          <w:szCs w:val="22"/>
        </w:rPr>
        <w:t> </w:t>
      </w:r>
      <w:r>
        <w:rPr>
          <w:szCs w:val="22"/>
        </w:rPr>
        <w:t>of each proposed implementation mechanism with the then-current IRTP.</w:t>
      </w:r>
    </w:p>
    <w:p w14:paraId="672BBE61" w14:textId="77777777" w:rsidR="00F62CB9" w:rsidRDefault="00F62CB9" w:rsidP="002F3CAA">
      <w:pPr>
        <w:spacing w:line="276" w:lineRule="auto"/>
        <w:rPr>
          <w:szCs w:val="22"/>
        </w:rPr>
      </w:pPr>
    </w:p>
    <w:p w14:paraId="14338D0C" w14:textId="77777777" w:rsidR="00F62CB9" w:rsidRDefault="00F62CB9" w:rsidP="002F3CAA">
      <w:pPr>
        <w:spacing w:line="276" w:lineRule="auto"/>
        <w:rPr>
          <w:szCs w:val="22"/>
        </w:rPr>
      </w:pPr>
      <w:r>
        <w:rPr>
          <w:szCs w:val="22"/>
        </w:rPr>
        <w:t>Secondly, the WG recommends that ICANN develop a public outreach and educational program for registrars, P/P service providers and customers (including potential customers) to inform them of the existence, launch and features of the P/P service accreditation program.</w:t>
      </w:r>
    </w:p>
    <w:p w14:paraId="18B6B7DD" w14:textId="77777777" w:rsidR="00F62CB9" w:rsidRDefault="00F62CB9" w:rsidP="002F3CAA">
      <w:pPr>
        <w:spacing w:line="276" w:lineRule="auto"/>
        <w:rPr>
          <w:szCs w:val="22"/>
        </w:rPr>
      </w:pPr>
    </w:p>
    <w:p w14:paraId="34B85D19" w14:textId="77777777" w:rsidR="00F62CB9" w:rsidRPr="00E41FAA" w:rsidRDefault="00F62CB9" w:rsidP="002F3CAA">
      <w:pPr>
        <w:spacing w:line="276" w:lineRule="auto"/>
        <w:rPr>
          <w:szCs w:val="22"/>
        </w:rPr>
      </w:pPr>
      <w:r>
        <w:rPr>
          <w:szCs w:val="22"/>
        </w:rPr>
        <w:t>Thirdly, the WG recommends that p</w:t>
      </w:r>
      <w:r w:rsidRPr="00E41FAA">
        <w:rPr>
          <w:szCs w:val="22"/>
        </w:rPr>
        <w:t xml:space="preserve">roviders </w:t>
      </w:r>
      <w:r>
        <w:rPr>
          <w:szCs w:val="22"/>
        </w:rPr>
        <w:t xml:space="preserve">should be required </w:t>
      </w:r>
      <w:r w:rsidRPr="00E41FAA">
        <w:rPr>
          <w:szCs w:val="22"/>
        </w:rPr>
        <w:t>to maintain statistics on the number of Publication a</w:t>
      </w:r>
      <w:r>
        <w:rPr>
          <w:szCs w:val="22"/>
        </w:rPr>
        <w:t>nd Disclosure requests received</w:t>
      </w:r>
      <w:r w:rsidRPr="00E41FAA">
        <w:rPr>
          <w:szCs w:val="22"/>
        </w:rPr>
        <w:t xml:space="preserve"> and the number honored, and provide these statistics in aggregate form to ICANN for periodic publication. The data should </w:t>
      </w:r>
      <w:r w:rsidRPr="00E41FAA">
        <w:rPr>
          <w:szCs w:val="22"/>
        </w:rPr>
        <w:lastRenderedPageBreak/>
        <w:t xml:space="preserve">be aggregated </w:t>
      </w:r>
      <w:r>
        <w:rPr>
          <w:szCs w:val="22"/>
        </w:rPr>
        <w:t>so as not</w:t>
      </w:r>
      <w:r w:rsidRPr="00E41FAA">
        <w:rPr>
          <w:szCs w:val="22"/>
        </w:rPr>
        <w:t xml:space="preserve"> to create a market where nefarious users of the </w:t>
      </w:r>
      <w:r>
        <w:rPr>
          <w:szCs w:val="22"/>
        </w:rPr>
        <w:t>domain name system are able to</w:t>
      </w:r>
      <w:r w:rsidRPr="00E41FAA">
        <w:rPr>
          <w:szCs w:val="22"/>
        </w:rPr>
        <w:t xml:space="preserve"> </w:t>
      </w:r>
      <w:r>
        <w:rPr>
          <w:szCs w:val="22"/>
        </w:rPr>
        <w:t xml:space="preserve">use the information to </w:t>
      </w:r>
      <w:r w:rsidRPr="00E41FAA">
        <w:rPr>
          <w:szCs w:val="22"/>
        </w:rPr>
        <w:t>find the P/P service</w:t>
      </w:r>
      <w:r>
        <w:rPr>
          <w:szCs w:val="22"/>
        </w:rPr>
        <w:t xml:space="preserve"> that is</w:t>
      </w:r>
      <w:r w:rsidRPr="00E41FAA">
        <w:rPr>
          <w:szCs w:val="22"/>
        </w:rPr>
        <w:t xml:space="preserve"> least likely to make </w:t>
      </w:r>
      <w:r>
        <w:rPr>
          <w:szCs w:val="22"/>
        </w:rPr>
        <w:t>D</w:t>
      </w:r>
      <w:r w:rsidRPr="00E41FAA">
        <w:rPr>
          <w:szCs w:val="22"/>
        </w:rPr>
        <w:t>isclosures</w:t>
      </w:r>
      <w:r>
        <w:rPr>
          <w:szCs w:val="22"/>
        </w:rPr>
        <w:t>.</w:t>
      </w:r>
    </w:p>
    <w:p w14:paraId="1FD84A52" w14:textId="77777777" w:rsidR="00F62CB9" w:rsidRPr="00E41FAA" w:rsidRDefault="00F62CB9" w:rsidP="002F3CAA">
      <w:pPr>
        <w:spacing w:line="276" w:lineRule="auto"/>
        <w:rPr>
          <w:szCs w:val="22"/>
        </w:rPr>
      </w:pPr>
    </w:p>
    <w:p w14:paraId="628C5B7A" w14:textId="47A7F525" w:rsidR="00785C9B" w:rsidRDefault="00F62CB9" w:rsidP="002F3CAA">
      <w:pPr>
        <w:spacing w:line="276" w:lineRule="auto"/>
      </w:pPr>
      <w:r>
        <w:rPr>
          <w:szCs w:val="22"/>
        </w:rPr>
        <w:t>Finally, t</w:t>
      </w:r>
      <w:r w:rsidRPr="002F4875">
        <w:rPr>
          <w:szCs w:val="22"/>
        </w:rPr>
        <w:t xml:space="preserve">he WG has concluded that the registrar accreditation model with its multiple steps, governed by the RAA, may not be entirely appropriate for P/P services; however, it is a useful starting point from which relevant portions may be adapted to apply to P/P service providers. </w:t>
      </w:r>
      <w:r>
        <w:rPr>
          <w:szCs w:val="22"/>
        </w:rPr>
        <w:t>T</w:t>
      </w:r>
      <w:r w:rsidRPr="002F4875">
        <w:rPr>
          <w:szCs w:val="22"/>
        </w:rPr>
        <w:t>he implications of adopting a particular accreditation model will need to be worked out as part of the implementation of its policy recommendations, if adopted.</w:t>
      </w:r>
    </w:p>
    <w:sectPr w:rsidR="00785C9B" w:rsidSect="00605C1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1D28D" w14:textId="77777777" w:rsidR="00802FEC" w:rsidRDefault="00802FEC" w:rsidP="00AB0AFB">
      <w:r>
        <w:separator/>
      </w:r>
    </w:p>
  </w:endnote>
  <w:endnote w:type="continuationSeparator" w:id="0">
    <w:p w14:paraId="57B3ABFA" w14:textId="77777777" w:rsidR="00802FEC" w:rsidRDefault="00802FEC" w:rsidP="00A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ourier">
    <w:panose1 w:val="00000000000000000000"/>
    <w:charset w:val="4D"/>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0833" w14:textId="77777777" w:rsidR="00785C9B" w:rsidRDefault="00785C9B" w:rsidP="0014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571C1" w14:textId="77777777" w:rsidR="00785C9B" w:rsidRDefault="00785C9B" w:rsidP="0010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3236" w14:textId="77777777" w:rsidR="00785C9B" w:rsidRDefault="00785C9B" w:rsidP="0014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CAA">
      <w:rPr>
        <w:rStyle w:val="PageNumber"/>
        <w:noProof/>
      </w:rPr>
      <w:t>1</w:t>
    </w:r>
    <w:r>
      <w:rPr>
        <w:rStyle w:val="PageNumber"/>
      </w:rPr>
      <w:fldChar w:fldCharType="end"/>
    </w:r>
  </w:p>
  <w:p w14:paraId="09710A00" w14:textId="77777777" w:rsidR="00785C9B" w:rsidRDefault="00785C9B" w:rsidP="001A67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3CC8" w14:textId="77777777" w:rsidR="00802FEC" w:rsidRDefault="00802FEC" w:rsidP="00AB0AFB">
      <w:r>
        <w:separator/>
      </w:r>
    </w:p>
  </w:footnote>
  <w:footnote w:type="continuationSeparator" w:id="0">
    <w:p w14:paraId="64DA25E3" w14:textId="77777777" w:rsidR="00802FEC" w:rsidRDefault="00802FEC" w:rsidP="00AB0AFB">
      <w:r>
        <w:continuationSeparator/>
      </w:r>
    </w:p>
  </w:footnote>
  <w:footnote w:id="1">
    <w:p w14:paraId="11745F9D" w14:textId="77777777" w:rsidR="00F62CB9" w:rsidRPr="00105697" w:rsidRDefault="00F62CB9" w:rsidP="00F62CB9">
      <w:pPr>
        <w:pStyle w:val="FootnoteText"/>
        <w:rPr>
          <w:rFonts w:ascii="Calibri" w:hAnsi="Calibri"/>
        </w:rPr>
      </w:pPr>
      <w:r w:rsidRPr="00105697">
        <w:rPr>
          <w:rStyle w:val="FootnoteReference"/>
        </w:rPr>
        <w:footnoteRef/>
      </w:r>
      <w:r w:rsidRPr="00105697">
        <w:rPr>
          <w:rFonts w:ascii="Calibri" w:hAnsi="Calibri"/>
        </w:rPr>
        <w:t xml:space="preserve"> The definitions of Privacy Service and Proxy Service reflect those in the 2013 RAA. In this context, the 2013 RAA also defines “Registered Name” as a domain name within the domain of a </w:t>
      </w:r>
      <w:proofErr w:type="spellStart"/>
      <w:r w:rsidRPr="00105697">
        <w:rPr>
          <w:rFonts w:ascii="Calibri" w:hAnsi="Calibri"/>
        </w:rPr>
        <w:t>gTLD</w:t>
      </w:r>
      <w:proofErr w:type="spellEnd"/>
      <w:r w:rsidRPr="00105697">
        <w:rPr>
          <w:rFonts w:ascii="Calibri" w:hAnsi="Calibri"/>
        </w:rPr>
        <w:t>, about which a </w:t>
      </w:r>
      <w:proofErr w:type="spellStart"/>
      <w:r w:rsidRPr="00105697">
        <w:rPr>
          <w:rFonts w:ascii="Calibri" w:hAnsi="Calibri"/>
        </w:rPr>
        <w:t>gTLD</w:t>
      </w:r>
      <w:proofErr w:type="spellEnd"/>
      <w:r w:rsidRPr="00105697">
        <w:rPr>
          <w:rFonts w:ascii="Calibri" w:hAnsi="Calibri"/>
        </w:rPr>
        <w:t> Registry Operator (or an Affiliate or subcontractor thereof engaged in providing Registry Services) maintains data in a Registry Database, arranges for such maintenance, or derives revenue from such maintenance</w:t>
      </w:r>
      <w:bookmarkStart w:id="1" w:name="1.16"/>
      <w:bookmarkEnd w:id="1"/>
      <w:r w:rsidRPr="00105697">
        <w:rPr>
          <w:rFonts w:ascii="Calibri" w:hAnsi="Calibri"/>
        </w:rPr>
        <w:t>, and “Registered Name Holder” is defined as the holder of a Registered Name.</w:t>
      </w:r>
    </w:p>
  </w:footnote>
  <w:footnote w:id="2">
    <w:p w14:paraId="3884D557" w14:textId="77777777" w:rsidR="00F62CB9" w:rsidRPr="00B87F22" w:rsidRDefault="00F62CB9" w:rsidP="00F62CB9">
      <w:pPr>
        <w:pStyle w:val="FootnoteText"/>
        <w:rPr>
          <w:rFonts w:ascii="Calibri" w:hAnsi="Calibri"/>
        </w:rPr>
      </w:pPr>
      <w:r w:rsidRPr="00B87F22">
        <w:rPr>
          <w:rStyle w:val="FootnoteReference"/>
        </w:rPr>
        <w:footnoteRef/>
      </w:r>
      <w:r w:rsidRPr="00B87F22">
        <w:rPr>
          <w:rFonts w:ascii="Calibri" w:hAnsi="Calibri"/>
        </w:rPr>
        <w:t xml:space="preserve"> </w:t>
      </w:r>
      <w:r w:rsidRPr="00B87F22">
        <w:rPr>
          <w:rFonts w:ascii="Calibri" w:hAnsi="Calibri"/>
          <w:lang w:val="en-GB"/>
        </w:rPr>
        <w:t xml:space="preserve">In this context, “knowingly” refers to actual knowledge at the time that the registration is submitted to the registrar. As implementation guidance, this knowledge would normally be obtained through a report to the registrar from ICANN or a third party.  </w:t>
      </w:r>
    </w:p>
  </w:footnote>
  <w:footnote w:id="3">
    <w:p w14:paraId="5AF93322" w14:textId="77777777" w:rsidR="00F62CB9" w:rsidRDefault="00F62CB9" w:rsidP="00F62CB9">
      <w:pPr>
        <w:pStyle w:val="FootnoteText"/>
      </w:pPr>
      <w:r w:rsidRPr="00105697">
        <w:rPr>
          <w:rStyle w:val="FootnoteReference"/>
        </w:rPr>
        <w:footnoteRef/>
      </w:r>
      <w:r w:rsidRPr="00105697">
        <w:rPr>
          <w:rFonts w:ascii="Calibri" w:hAnsi="Calibri"/>
        </w:rPr>
        <w:t xml:space="preserve"> Section 3.7.7.3 of the 2013 RAA reads as follows: “</w:t>
      </w:r>
      <w:r w:rsidRPr="00105697">
        <w:rPr>
          <w:rFonts w:ascii="Calibri" w:hAnsi="Calibr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footnote>
  <w:footnote w:id="4">
    <w:p w14:paraId="252B98F6" w14:textId="77777777" w:rsidR="00F62CB9" w:rsidRDefault="00F62CB9" w:rsidP="00F62CB9">
      <w:pPr>
        <w:pStyle w:val="FootnoteText"/>
        <w:rPr>
          <w:rFonts w:ascii="Calibri" w:hAnsi="Calibri"/>
        </w:rPr>
      </w:pPr>
      <w:r>
        <w:rPr>
          <w:rStyle w:val="FootnoteReference"/>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5">
    <w:p w14:paraId="1497E7A4" w14:textId="77777777" w:rsidR="00F62CB9" w:rsidRPr="00105697" w:rsidRDefault="00F62CB9" w:rsidP="00F62CB9">
      <w:pPr>
        <w:pStyle w:val="FootnoteText"/>
        <w:rPr>
          <w:rFonts w:ascii="Calibri" w:hAnsi="Calibri"/>
        </w:rPr>
      </w:pPr>
      <w:r w:rsidRPr="00105697">
        <w:rPr>
          <w:rStyle w:val="FootnoteReference"/>
        </w:rPr>
        <w:footnoteRef/>
      </w:r>
      <w:r w:rsidRPr="00105697">
        <w:rPr>
          <w:rFonts w:ascii="Calibri" w:hAnsi="Calibri"/>
        </w:rPr>
        <w:t xml:space="preserve"> See </w:t>
      </w:r>
      <w:r w:rsidRPr="00105697">
        <w:rPr>
          <w:rStyle w:val="Hyperlink"/>
        </w:rPr>
        <w:t>https://www.icann.org/resources/pages/approved-with-specs-2013-09-17-en</w:t>
      </w:r>
      <w:r w:rsidRPr="00105697">
        <w:rPr>
          <w:rFonts w:ascii="Calibri" w:hAnsi="Calibri"/>
        </w:rPr>
        <w:t xml:space="preserve">. </w:t>
      </w:r>
    </w:p>
  </w:footnote>
  <w:footnote w:id="6">
    <w:p w14:paraId="229E42FD" w14:textId="77777777" w:rsidR="00F62CB9" w:rsidRPr="0011292F" w:rsidRDefault="00F62CB9" w:rsidP="00F62CB9">
      <w:pPr>
        <w:pStyle w:val="FootnoteText"/>
        <w:rPr>
          <w:rFonts w:ascii="Calibri" w:hAnsi="Calibri"/>
        </w:rPr>
      </w:pPr>
      <w:r>
        <w:rPr>
          <w:rStyle w:val="FootnoteReference"/>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w:t>
      </w:r>
      <w:r w:rsidRPr="00105697">
        <w:rPr>
          <w:rFonts w:ascii="Calibri" w:hAnsi="Calibri"/>
        </w:rPr>
        <w:t>tely considered as part of implementation.</w:t>
      </w:r>
      <w:r>
        <w:rPr>
          <w:rFonts w:ascii="Calibri" w:hAnsi="Calibri"/>
        </w:rPr>
        <w:t xml:space="preserve"> </w:t>
      </w:r>
      <w:r w:rsidRPr="0011292F">
        <w:rPr>
          <w:rFonts w:ascii="Calibri" w:hAnsi="Calibri"/>
        </w:rPr>
        <w:t xml:space="preserve">For clarity, references to “WHOIS” in this Final Report are to the current globally accessible </w:t>
      </w:r>
      <w:proofErr w:type="spellStart"/>
      <w:r w:rsidRPr="0011292F">
        <w:rPr>
          <w:rFonts w:ascii="Calibri" w:hAnsi="Calibri"/>
        </w:rPr>
        <w:t>gTLD</w:t>
      </w:r>
      <w:proofErr w:type="spellEnd"/>
      <w:r w:rsidRPr="0011292F">
        <w:rPr>
          <w:rFonts w:ascii="Calibri" w:hAnsi="Calibri"/>
        </w:rPr>
        <w:t xml:space="preserve"> Registration Directory Service as well as any successors or replacements thereto.  </w:t>
      </w:r>
    </w:p>
    <w:p w14:paraId="2C7CB788" w14:textId="77777777" w:rsidR="00F62CB9" w:rsidRPr="00105697" w:rsidRDefault="00F62CB9" w:rsidP="00F62CB9">
      <w:pPr>
        <w:pStyle w:val="FootnoteText"/>
        <w:rPr>
          <w:rFonts w:ascii="Calibri" w:hAnsi="Calibri"/>
        </w:rPr>
      </w:pPr>
    </w:p>
  </w:footnote>
  <w:footnote w:id="7">
    <w:p w14:paraId="4799AB28" w14:textId="77777777" w:rsidR="00F62CB9" w:rsidRPr="00105697" w:rsidRDefault="00F62CB9" w:rsidP="00F62CB9">
      <w:pPr>
        <w:pStyle w:val="FootnoteText"/>
        <w:rPr>
          <w:rFonts w:ascii="Calibri" w:hAnsi="Calibri"/>
        </w:rPr>
      </w:pPr>
      <w:r w:rsidRPr="00105697">
        <w:rPr>
          <w:rStyle w:val="FootnoteReference"/>
        </w:rPr>
        <w:footnoteRef/>
      </w:r>
      <w:r w:rsidRPr="00105697">
        <w:rPr>
          <w:rFonts w:ascii="Calibri" w:hAnsi="Calibri"/>
        </w:rPr>
        <w:t xml:space="preserve"> </w:t>
      </w:r>
      <w:r w:rsidRPr="00105697">
        <w:rPr>
          <w:rFonts w:ascii="Calibri" w:hAnsi="Calibri"/>
          <w:lang w:val="en-GB"/>
        </w:rPr>
        <w:t>The WG believes there should be no mandatory restriction on providers being able to terminate service to a customer on grounds stated in the terms of service, subject to any other specific limitation that may be recommended in this report by the WG. The WG notes that it is probably not possible to create a general policy that would in all cases prevent Publication via termination of service where the customer is ultimately shown to have been innocent (i.e. not in breach).</w:t>
      </w:r>
    </w:p>
  </w:footnote>
  <w:footnote w:id="8">
    <w:p w14:paraId="6D47F3B2" w14:textId="77777777" w:rsidR="00F62CB9" w:rsidRDefault="00F62CB9" w:rsidP="00F62CB9">
      <w:pPr>
        <w:pStyle w:val="FootnoteText"/>
      </w:pPr>
      <w:r w:rsidRPr="00105697">
        <w:rPr>
          <w:rStyle w:val="FootnoteReference"/>
        </w:rPr>
        <w:footnoteRef/>
      </w:r>
      <w:r w:rsidRPr="00105697">
        <w:rPr>
          <w:rFonts w:ascii="Calibri" w:hAnsi="Calibri"/>
        </w:rPr>
        <w:t xml:space="preserve"> This is defined as a material, i.e. non-typographical, change to either the registrant name, organization or email address (or in the absence of an email contact, the administrative contact listed for the registrant).</w:t>
      </w:r>
      <w:r>
        <w:t xml:space="preserve"> </w:t>
      </w:r>
    </w:p>
  </w:footnote>
  <w:footnote w:id="9">
    <w:p w14:paraId="7C5CEF84" w14:textId="77777777" w:rsidR="00F62CB9" w:rsidRPr="000D5DAB" w:rsidRDefault="00F62CB9" w:rsidP="00F62CB9">
      <w:pPr>
        <w:pStyle w:val="FootnoteText"/>
        <w:rPr>
          <w:rFonts w:ascii="Calibri" w:hAnsi="Calibri"/>
        </w:rPr>
      </w:pPr>
      <w:r w:rsidRPr="0043143F">
        <w:rPr>
          <w:rStyle w:val="FootnoteReference"/>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10">
    <w:p w14:paraId="145DA4E6" w14:textId="77777777" w:rsidR="00F62CB9" w:rsidRPr="00105697" w:rsidRDefault="00F62CB9" w:rsidP="00F62CB9">
      <w:pPr>
        <w:pStyle w:val="FootnoteText"/>
        <w:rPr>
          <w:rFonts w:ascii="Calibri" w:hAnsi="Calibri"/>
        </w:rPr>
      </w:pPr>
      <w:r w:rsidRPr="00105697">
        <w:rPr>
          <w:rStyle w:val="FootnoteReference"/>
        </w:rPr>
        <w:footnoteRef/>
      </w:r>
      <w:r w:rsidRPr="00105697">
        <w:rPr>
          <w:rFonts w:ascii="Calibri" w:hAnsi="Calibri"/>
        </w:rPr>
        <w:t xml:space="preserve"> See also the WG’s observation</w:t>
      </w:r>
      <w:r>
        <w:rPr>
          <w:rFonts w:ascii="Calibri" w:hAnsi="Calibri"/>
        </w:rPr>
        <w:t>s below under Recommendation #21</w:t>
      </w:r>
      <w:r w:rsidRPr="00105697">
        <w:rPr>
          <w:rFonts w:ascii="Calibri" w:hAnsi="Calibri"/>
        </w:rPr>
        <w:t xml:space="preserve"> regarding the additional risks and challenges that may arise when the P/P service provider is independent of (i.e. not Affiliated with) an ICANN-accredited registrar, and which may be of particular concern in relation to transfers and de-accreditation issues.</w:t>
      </w:r>
    </w:p>
  </w:footnote>
  <w:footnote w:id="11">
    <w:p w14:paraId="678BCE77" w14:textId="77777777" w:rsidR="00F62CB9" w:rsidRDefault="00F62CB9" w:rsidP="00F62CB9">
      <w:pPr>
        <w:pStyle w:val="FootnoteText"/>
      </w:pPr>
      <w:r>
        <w:rPr>
          <w:rStyle w:val="FootnoteReference"/>
        </w:rPr>
        <w:footnoteRef/>
      </w:r>
      <w:r>
        <w:rPr>
          <w:rFonts w:ascii="Calibri" w:hAnsi="Calibri"/>
        </w:rPr>
        <w:t xml:space="preserve"> The WG discussed, but did not reach consensus on, the possibility of requiring a registrar to also declare its Affiliation (if any) with a P/P service provider.</w:t>
      </w:r>
    </w:p>
  </w:footnote>
  <w:footnote w:id="12">
    <w:p w14:paraId="797C8CEF" w14:textId="77777777" w:rsidR="00F62CB9" w:rsidRDefault="00F62CB9" w:rsidP="00F62CB9">
      <w:pPr>
        <w:pStyle w:val="FootnoteText"/>
        <w:rPr>
          <w:rFonts w:ascii="Calibri" w:hAnsi="Calibri"/>
        </w:rPr>
      </w:pPr>
      <w:r>
        <w:rPr>
          <w:rStyle w:val="FootnoteReference"/>
        </w:rPr>
        <w:footnoteRef/>
      </w:r>
      <w:r>
        <w:rPr>
          <w:rFonts w:ascii="Calibri" w:hAnsi="Calibri"/>
        </w:rPr>
        <w:t xml:space="preserve"> See </w:t>
      </w:r>
      <w:hyperlink r:id="rId1" w:history="1">
        <w:r w:rsidRPr="0096149C">
          <w:rPr>
            <w:rStyle w:val="Hyperlink"/>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13">
    <w:p w14:paraId="3A37A7A2" w14:textId="77777777" w:rsidR="00F62CB9" w:rsidRDefault="00F62CB9" w:rsidP="00F62CB9">
      <w:pPr>
        <w:pStyle w:val="FootnoteText"/>
        <w:rPr>
          <w:rFonts w:ascii="Calibri" w:hAnsi="Calibri"/>
        </w:rPr>
      </w:pPr>
      <w:r>
        <w:rPr>
          <w:rStyle w:val="FootnoteReference"/>
        </w:rPr>
        <w:footnoteRef/>
      </w:r>
      <w:r>
        <w:rPr>
          <w:rFonts w:ascii="Calibri" w:hAnsi="Calibri"/>
        </w:rPr>
        <w:t xml:space="preserve"> See </w:t>
      </w:r>
      <w:hyperlink r:id="rId2" w:history="1">
        <w:r w:rsidRPr="0096149C">
          <w:rPr>
            <w:rStyle w:val="Hyperlink"/>
          </w:rPr>
          <w:t>https://www.icann.org/en/system/files/correspondence/gac-to-board-11apr13-en.pdf</w:t>
        </w:r>
      </w:hyperlink>
      <w:r>
        <w:rPr>
          <w:rStyle w:val="Hyperlink"/>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14">
    <w:p w14:paraId="0426C09B" w14:textId="77777777" w:rsidR="00F62CB9" w:rsidRDefault="00F62CB9" w:rsidP="00F62CB9">
      <w:pPr>
        <w:pStyle w:val="FootnoteText"/>
        <w:rPr>
          <w:rFonts w:ascii="Calibri" w:hAnsi="Calibri"/>
        </w:rPr>
      </w:pPr>
      <w:r>
        <w:rPr>
          <w:rStyle w:val="FootnoteReference"/>
        </w:rPr>
        <w:footnoteRef/>
      </w:r>
      <w:r>
        <w:rPr>
          <w:rFonts w:ascii="Calibri" w:hAnsi="Calibri"/>
        </w:rPr>
        <w:t xml:space="preserve"> With the specific exception of Disclosure requests from intellectual property rights holders (see Recommendation #19 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15">
    <w:p w14:paraId="5DB7AA1D" w14:textId="77777777" w:rsidR="00F62CB9" w:rsidRDefault="00F62CB9" w:rsidP="00F62CB9">
      <w:pPr>
        <w:pStyle w:val="FootnoteText"/>
        <w:rPr>
          <w:rFonts w:ascii="Calibri" w:hAnsi="Calibri"/>
        </w:rPr>
      </w:pPr>
      <w:r>
        <w:rPr>
          <w:rStyle w:val="FootnoteReference"/>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16">
    <w:p w14:paraId="6A05F007" w14:textId="77777777" w:rsidR="00F62CB9" w:rsidRDefault="00F62CB9" w:rsidP="00F62CB9">
      <w:pPr>
        <w:pStyle w:val="FootnoteText"/>
        <w:rPr>
          <w:rFonts w:ascii="Calibri" w:hAnsi="Calibri"/>
        </w:rPr>
      </w:pPr>
      <w:r>
        <w:rPr>
          <w:rStyle w:val="FootnoteReference"/>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17">
    <w:p w14:paraId="00D6200D" w14:textId="77777777" w:rsidR="00F62CB9" w:rsidRPr="00105697" w:rsidRDefault="00F62CB9" w:rsidP="00F62CB9">
      <w:pPr>
        <w:pStyle w:val="FootnoteText"/>
        <w:rPr>
          <w:rFonts w:ascii="Calibri" w:hAnsi="Calibri"/>
        </w:rPr>
      </w:pPr>
      <w:r w:rsidRPr="00105697">
        <w:rPr>
          <w:rStyle w:val="FootnoteReference"/>
        </w:rPr>
        <w:footnoteRef/>
      </w:r>
      <w:r w:rsidRPr="00105697">
        <w:rPr>
          <w:rFonts w:ascii="Calibri" w:hAnsi="Calibri"/>
        </w:rPr>
        <w:t xml:space="preserve"> The WG notes that the new changes to the IRTP give a registrar the discretion to lift the lock at the beneficial user’s request, and that no specific exceptions were created at the time the policy was reviewed.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41518C"/>
    <w:multiLevelType w:val="multilevel"/>
    <w:tmpl w:val="21D2C128"/>
    <w:lvl w:ilvl="0">
      <w:start w:val="9"/>
      <w:numFmt w:val="decimal"/>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41C3BBA"/>
    <w:multiLevelType w:val="hybridMultilevel"/>
    <w:tmpl w:val="BB4E1BF4"/>
    <w:lvl w:ilvl="0" w:tplc="667AB3CA">
      <w:start w:val="97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37AB"/>
    <w:multiLevelType w:val="multilevel"/>
    <w:tmpl w:val="D86E6B5C"/>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A1314"/>
    <w:multiLevelType w:val="hybridMultilevel"/>
    <w:tmpl w:val="F344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E0EBF"/>
    <w:multiLevelType w:val="hybridMultilevel"/>
    <w:tmpl w:val="BC7696A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2D6E115C"/>
    <w:multiLevelType w:val="hybridMultilevel"/>
    <w:tmpl w:val="C17C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63270"/>
    <w:multiLevelType w:val="hybridMultilevel"/>
    <w:tmpl w:val="9D2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73C82"/>
    <w:multiLevelType w:val="hybridMultilevel"/>
    <w:tmpl w:val="F3C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CF5118B"/>
    <w:multiLevelType w:val="hybridMultilevel"/>
    <w:tmpl w:val="E6A0454C"/>
    <w:lvl w:ilvl="0" w:tplc="295E7A64">
      <w:start w:val="9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707F9D"/>
    <w:multiLevelType w:val="multilevel"/>
    <w:tmpl w:val="F33E34C6"/>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AE84C0E"/>
    <w:multiLevelType w:val="hybridMultilevel"/>
    <w:tmpl w:val="5E32383C"/>
    <w:lvl w:ilvl="0" w:tplc="E5B6FF5C">
      <w:start w:val="1"/>
      <w:numFmt w:val="decimal"/>
      <w:suff w:val="space"/>
      <w:lvlText w:val="Recommendation #%1."/>
      <w:lvlJc w:val="left"/>
      <w:pPr>
        <w:ind w:left="3960" w:hanging="360"/>
      </w:pPr>
      <w:rPr>
        <w:rFonts w:ascii="Calibri" w:hAnsi="Calibri" w:hint="default"/>
        <w:b w:val="0"/>
        <w:bCs w:val="0"/>
        <w:i w:val="0"/>
        <w:iCs w:val="0"/>
        <w:sz w:val="22"/>
        <w:szCs w:val="22"/>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2C20098"/>
    <w:multiLevelType w:val="hybridMultilevel"/>
    <w:tmpl w:val="0BAAB466"/>
    <w:lvl w:ilvl="0" w:tplc="04090001">
      <w:start w:val="1"/>
      <w:numFmt w:val="bullet"/>
      <w:lvlText w:val=""/>
      <w:lvlJc w:val="left"/>
      <w:pPr>
        <w:ind w:left="720" w:hanging="360"/>
      </w:pPr>
      <w:rPr>
        <w:rFonts w:ascii="Symbol" w:hAnsi="Symbol" w:hint="default"/>
      </w:rPr>
    </w:lvl>
    <w:lvl w:ilvl="1" w:tplc="679AE3F8">
      <w:start w:val="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E6A75"/>
    <w:multiLevelType w:val="multilevel"/>
    <w:tmpl w:val="B9BE5776"/>
    <w:lvl w:ilvl="0">
      <w:start w:val="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8329ED"/>
    <w:multiLevelType w:val="multilevel"/>
    <w:tmpl w:val="4DF4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4"/>
  </w:num>
  <w:num w:numId="4">
    <w:abstractNumId w:val="7"/>
  </w:num>
  <w:num w:numId="5">
    <w:abstractNumId w:val="9"/>
  </w:num>
  <w:num w:numId="6">
    <w:abstractNumId w:val="20"/>
  </w:num>
  <w:num w:numId="7">
    <w:abstractNumId w:val="14"/>
  </w:num>
  <w:num w:numId="8">
    <w:abstractNumId w:val="3"/>
  </w:num>
  <w:num w:numId="9">
    <w:abstractNumId w:val="10"/>
  </w:num>
  <w:num w:numId="10">
    <w:abstractNumId w:val="2"/>
  </w:num>
  <w:num w:numId="11">
    <w:abstractNumId w:val="19"/>
  </w:num>
  <w:num w:numId="12">
    <w:abstractNumId w:val="18"/>
  </w:num>
  <w:num w:numId="13">
    <w:abstractNumId w:val="13"/>
  </w:num>
  <w:num w:numId="14">
    <w:abstractNumId w:val="1"/>
  </w:num>
  <w:num w:numId="15">
    <w:abstractNumId w:val="16"/>
  </w:num>
  <w:num w:numId="16">
    <w:abstractNumId w:val="21"/>
  </w:num>
  <w:num w:numId="17">
    <w:abstractNumId w:val="2"/>
  </w:num>
  <w:num w:numId="18">
    <w:abstractNumId w:val="2"/>
  </w:num>
  <w:num w:numId="19">
    <w:abstractNumId w:val="5"/>
  </w:num>
  <w:num w:numId="20">
    <w:abstractNumId w:val="22"/>
  </w:num>
  <w:num w:numId="21">
    <w:abstractNumId w:val="8"/>
  </w:num>
  <w:num w:numId="22">
    <w:abstractNumId w:val="15"/>
  </w:num>
  <w:num w:numId="23">
    <w:abstractNumId w:val="12"/>
  </w:num>
  <w:num w:numId="24">
    <w:abstractNumId w:val="11"/>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EF"/>
    <w:rsid w:val="00000E1D"/>
    <w:rsid w:val="0000155D"/>
    <w:rsid w:val="00001B0E"/>
    <w:rsid w:val="00007CD6"/>
    <w:rsid w:val="000158CD"/>
    <w:rsid w:val="00020FEB"/>
    <w:rsid w:val="00024626"/>
    <w:rsid w:val="000409A4"/>
    <w:rsid w:val="0004519E"/>
    <w:rsid w:val="00054AFE"/>
    <w:rsid w:val="00057012"/>
    <w:rsid w:val="00057C9D"/>
    <w:rsid w:val="00091093"/>
    <w:rsid w:val="000B3F7F"/>
    <w:rsid w:val="000C0E56"/>
    <w:rsid w:val="000C44BC"/>
    <w:rsid w:val="000D5EE9"/>
    <w:rsid w:val="000E3C7D"/>
    <w:rsid w:val="000E5688"/>
    <w:rsid w:val="00101EE7"/>
    <w:rsid w:val="0011346F"/>
    <w:rsid w:val="00113CC4"/>
    <w:rsid w:val="00121FE4"/>
    <w:rsid w:val="00123E31"/>
    <w:rsid w:val="00130AB0"/>
    <w:rsid w:val="00144310"/>
    <w:rsid w:val="00144E0C"/>
    <w:rsid w:val="00147580"/>
    <w:rsid w:val="0015351C"/>
    <w:rsid w:val="00161A82"/>
    <w:rsid w:val="0017688E"/>
    <w:rsid w:val="00186556"/>
    <w:rsid w:val="00195827"/>
    <w:rsid w:val="001A6743"/>
    <w:rsid w:val="001B22DD"/>
    <w:rsid w:val="001B40DD"/>
    <w:rsid w:val="001F39E7"/>
    <w:rsid w:val="00212B2D"/>
    <w:rsid w:val="00215EF4"/>
    <w:rsid w:val="00221D96"/>
    <w:rsid w:val="00252FF9"/>
    <w:rsid w:val="00275441"/>
    <w:rsid w:val="0029092D"/>
    <w:rsid w:val="00297E87"/>
    <w:rsid w:val="002A553D"/>
    <w:rsid w:val="002F202E"/>
    <w:rsid w:val="002F3CAA"/>
    <w:rsid w:val="003016A7"/>
    <w:rsid w:val="00340BA3"/>
    <w:rsid w:val="00354ECF"/>
    <w:rsid w:val="0036420B"/>
    <w:rsid w:val="00365F37"/>
    <w:rsid w:val="00372A9A"/>
    <w:rsid w:val="00375DFB"/>
    <w:rsid w:val="003B140F"/>
    <w:rsid w:val="003B310B"/>
    <w:rsid w:val="003C5E28"/>
    <w:rsid w:val="003D3041"/>
    <w:rsid w:val="003D75DA"/>
    <w:rsid w:val="003D7A31"/>
    <w:rsid w:val="003E0057"/>
    <w:rsid w:val="003E1A60"/>
    <w:rsid w:val="003E4BA1"/>
    <w:rsid w:val="003E4F45"/>
    <w:rsid w:val="003F0CA0"/>
    <w:rsid w:val="003F35D1"/>
    <w:rsid w:val="003F5B02"/>
    <w:rsid w:val="00405F50"/>
    <w:rsid w:val="0041216C"/>
    <w:rsid w:val="00432CAC"/>
    <w:rsid w:val="00476CA5"/>
    <w:rsid w:val="004806A4"/>
    <w:rsid w:val="00482C55"/>
    <w:rsid w:val="00496266"/>
    <w:rsid w:val="004A41C4"/>
    <w:rsid w:val="004A7BAC"/>
    <w:rsid w:val="004D20C4"/>
    <w:rsid w:val="004F15D1"/>
    <w:rsid w:val="004F4EB4"/>
    <w:rsid w:val="005047C4"/>
    <w:rsid w:val="00512835"/>
    <w:rsid w:val="00515003"/>
    <w:rsid w:val="00525688"/>
    <w:rsid w:val="00532351"/>
    <w:rsid w:val="0053239A"/>
    <w:rsid w:val="00540222"/>
    <w:rsid w:val="00544230"/>
    <w:rsid w:val="00551D5E"/>
    <w:rsid w:val="0058469D"/>
    <w:rsid w:val="0059004E"/>
    <w:rsid w:val="0059498F"/>
    <w:rsid w:val="005A4CF9"/>
    <w:rsid w:val="005B190F"/>
    <w:rsid w:val="005C2080"/>
    <w:rsid w:val="005C3DAC"/>
    <w:rsid w:val="005D6206"/>
    <w:rsid w:val="005E7E88"/>
    <w:rsid w:val="005F6DEE"/>
    <w:rsid w:val="00605410"/>
    <w:rsid w:val="00605C1E"/>
    <w:rsid w:val="00622599"/>
    <w:rsid w:val="00627C5C"/>
    <w:rsid w:val="00650911"/>
    <w:rsid w:val="00660347"/>
    <w:rsid w:val="0068222C"/>
    <w:rsid w:val="00695E8D"/>
    <w:rsid w:val="006A6FB4"/>
    <w:rsid w:val="006B3FBF"/>
    <w:rsid w:val="006C3A59"/>
    <w:rsid w:val="006D49AE"/>
    <w:rsid w:val="006E401F"/>
    <w:rsid w:val="006F3E69"/>
    <w:rsid w:val="006F5DA8"/>
    <w:rsid w:val="00701852"/>
    <w:rsid w:val="0071032C"/>
    <w:rsid w:val="007172AA"/>
    <w:rsid w:val="007348A5"/>
    <w:rsid w:val="00745E98"/>
    <w:rsid w:val="007472ED"/>
    <w:rsid w:val="00751704"/>
    <w:rsid w:val="00757E55"/>
    <w:rsid w:val="0076156E"/>
    <w:rsid w:val="00763590"/>
    <w:rsid w:val="00765D60"/>
    <w:rsid w:val="00773785"/>
    <w:rsid w:val="00773E11"/>
    <w:rsid w:val="00780F20"/>
    <w:rsid w:val="00785C9B"/>
    <w:rsid w:val="007917C9"/>
    <w:rsid w:val="007B7964"/>
    <w:rsid w:val="007D4839"/>
    <w:rsid w:val="007E412E"/>
    <w:rsid w:val="007F4C4D"/>
    <w:rsid w:val="00802FEC"/>
    <w:rsid w:val="00842F13"/>
    <w:rsid w:val="008431FA"/>
    <w:rsid w:val="008435F5"/>
    <w:rsid w:val="0084519B"/>
    <w:rsid w:val="00853D5E"/>
    <w:rsid w:val="00884BE1"/>
    <w:rsid w:val="008A0941"/>
    <w:rsid w:val="008A686E"/>
    <w:rsid w:val="008C597E"/>
    <w:rsid w:val="008C6016"/>
    <w:rsid w:val="008C7740"/>
    <w:rsid w:val="008D687F"/>
    <w:rsid w:val="008F1056"/>
    <w:rsid w:val="008F7B34"/>
    <w:rsid w:val="009017E9"/>
    <w:rsid w:val="00901D61"/>
    <w:rsid w:val="00910098"/>
    <w:rsid w:val="009253D9"/>
    <w:rsid w:val="00937534"/>
    <w:rsid w:val="00964B59"/>
    <w:rsid w:val="009753A9"/>
    <w:rsid w:val="00982096"/>
    <w:rsid w:val="00995EAE"/>
    <w:rsid w:val="009A498F"/>
    <w:rsid w:val="009A641F"/>
    <w:rsid w:val="009B1CCF"/>
    <w:rsid w:val="009B69A9"/>
    <w:rsid w:val="009D6134"/>
    <w:rsid w:val="009E1568"/>
    <w:rsid w:val="009E22EF"/>
    <w:rsid w:val="009F0276"/>
    <w:rsid w:val="009F5B74"/>
    <w:rsid w:val="00A062A7"/>
    <w:rsid w:val="00A1126C"/>
    <w:rsid w:val="00A25610"/>
    <w:rsid w:val="00A47B0D"/>
    <w:rsid w:val="00A528A0"/>
    <w:rsid w:val="00A54EAF"/>
    <w:rsid w:val="00A6234D"/>
    <w:rsid w:val="00A91766"/>
    <w:rsid w:val="00A97A04"/>
    <w:rsid w:val="00AA011A"/>
    <w:rsid w:val="00AB08EF"/>
    <w:rsid w:val="00AB0AFB"/>
    <w:rsid w:val="00AE6974"/>
    <w:rsid w:val="00AE7296"/>
    <w:rsid w:val="00B018A5"/>
    <w:rsid w:val="00B04069"/>
    <w:rsid w:val="00B06681"/>
    <w:rsid w:val="00B17C91"/>
    <w:rsid w:val="00B24A40"/>
    <w:rsid w:val="00B365F7"/>
    <w:rsid w:val="00B51F58"/>
    <w:rsid w:val="00B619B6"/>
    <w:rsid w:val="00B633DA"/>
    <w:rsid w:val="00B63952"/>
    <w:rsid w:val="00B66EB3"/>
    <w:rsid w:val="00B91FCB"/>
    <w:rsid w:val="00BB21D2"/>
    <w:rsid w:val="00BB41BD"/>
    <w:rsid w:val="00BB7162"/>
    <w:rsid w:val="00BD6CB2"/>
    <w:rsid w:val="00BE15F7"/>
    <w:rsid w:val="00BF72E3"/>
    <w:rsid w:val="00C009FA"/>
    <w:rsid w:val="00C12E1D"/>
    <w:rsid w:val="00C41282"/>
    <w:rsid w:val="00C423F5"/>
    <w:rsid w:val="00C46914"/>
    <w:rsid w:val="00C66295"/>
    <w:rsid w:val="00C676EB"/>
    <w:rsid w:val="00C70D4E"/>
    <w:rsid w:val="00C74639"/>
    <w:rsid w:val="00C75C42"/>
    <w:rsid w:val="00C761DE"/>
    <w:rsid w:val="00C764AA"/>
    <w:rsid w:val="00C95488"/>
    <w:rsid w:val="00C97FB9"/>
    <w:rsid w:val="00CB42F8"/>
    <w:rsid w:val="00CB6C4F"/>
    <w:rsid w:val="00CB7512"/>
    <w:rsid w:val="00CD1220"/>
    <w:rsid w:val="00CD7AC5"/>
    <w:rsid w:val="00CD7BED"/>
    <w:rsid w:val="00CF205A"/>
    <w:rsid w:val="00CF5840"/>
    <w:rsid w:val="00CF72D4"/>
    <w:rsid w:val="00D019DC"/>
    <w:rsid w:val="00D021FF"/>
    <w:rsid w:val="00D04A92"/>
    <w:rsid w:val="00D32C9F"/>
    <w:rsid w:val="00D36BBB"/>
    <w:rsid w:val="00D6303A"/>
    <w:rsid w:val="00D761C9"/>
    <w:rsid w:val="00D907B6"/>
    <w:rsid w:val="00D96DD8"/>
    <w:rsid w:val="00DA1726"/>
    <w:rsid w:val="00DA59BA"/>
    <w:rsid w:val="00DB6A3A"/>
    <w:rsid w:val="00DB6C56"/>
    <w:rsid w:val="00DD6794"/>
    <w:rsid w:val="00DD69AA"/>
    <w:rsid w:val="00DE70D0"/>
    <w:rsid w:val="00E1209D"/>
    <w:rsid w:val="00E32DC6"/>
    <w:rsid w:val="00E43041"/>
    <w:rsid w:val="00E4335B"/>
    <w:rsid w:val="00E4377F"/>
    <w:rsid w:val="00E55A0F"/>
    <w:rsid w:val="00E56216"/>
    <w:rsid w:val="00E636B0"/>
    <w:rsid w:val="00E66A66"/>
    <w:rsid w:val="00E6710A"/>
    <w:rsid w:val="00E72237"/>
    <w:rsid w:val="00E907E0"/>
    <w:rsid w:val="00EA0927"/>
    <w:rsid w:val="00EA0F73"/>
    <w:rsid w:val="00EB0A9F"/>
    <w:rsid w:val="00EC1290"/>
    <w:rsid w:val="00EC3305"/>
    <w:rsid w:val="00ED54DA"/>
    <w:rsid w:val="00EE3628"/>
    <w:rsid w:val="00EE5A18"/>
    <w:rsid w:val="00EF7946"/>
    <w:rsid w:val="00F00A40"/>
    <w:rsid w:val="00F10F15"/>
    <w:rsid w:val="00F11F0D"/>
    <w:rsid w:val="00F159AE"/>
    <w:rsid w:val="00F2430A"/>
    <w:rsid w:val="00F261EF"/>
    <w:rsid w:val="00F3198F"/>
    <w:rsid w:val="00F4102F"/>
    <w:rsid w:val="00F444E5"/>
    <w:rsid w:val="00F62CB9"/>
    <w:rsid w:val="00F64358"/>
    <w:rsid w:val="00F6509A"/>
    <w:rsid w:val="00F66436"/>
    <w:rsid w:val="00F7531D"/>
    <w:rsid w:val="00F770BA"/>
    <w:rsid w:val="00F806AB"/>
    <w:rsid w:val="00F80ADE"/>
    <w:rsid w:val="00F943D4"/>
    <w:rsid w:val="00FA771F"/>
    <w:rsid w:val="00FB4C0E"/>
    <w:rsid w:val="00FD6A5C"/>
    <w:rsid w:val="00FD7718"/>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164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1A"/>
    <w:rPr>
      <w:rFonts w:ascii="Calibri" w:hAnsi="Calibri"/>
      <w:sz w:val="22"/>
    </w:rPr>
  </w:style>
  <w:style w:type="paragraph" w:styleId="Heading2">
    <w:name w:val="heading 2"/>
    <w:basedOn w:val="Normal"/>
    <w:next w:val="Normal"/>
    <w:link w:val="Heading2Char"/>
    <w:uiPriority w:val="99"/>
    <w:qFormat/>
    <w:rsid w:val="00B24A40"/>
    <w:pPr>
      <w:keepNext/>
      <w:numPr>
        <w:ilvl w:val="1"/>
        <w:numId w:val="10"/>
      </w:numPr>
      <w:spacing w:before="240" w:after="60"/>
      <w:outlineLvl w:val="1"/>
    </w:pPr>
    <w:rPr>
      <w:rFonts w:eastAsia="MS Gothic" w:cs="Calibri"/>
      <w:b/>
      <w:bCs/>
      <w:i/>
      <w:iCs/>
      <w:sz w:val="28"/>
      <w:szCs w:val="28"/>
      <w:lang w:val="en-GB"/>
    </w:rPr>
  </w:style>
  <w:style w:type="paragraph" w:styleId="Heading3">
    <w:name w:val="heading 3"/>
    <w:basedOn w:val="Normal"/>
    <w:next w:val="Normal"/>
    <w:link w:val="Heading3Char"/>
    <w:uiPriority w:val="99"/>
    <w:qFormat/>
    <w:rsid w:val="00B24A40"/>
    <w:pPr>
      <w:keepNext/>
      <w:numPr>
        <w:ilvl w:val="2"/>
        <w:numId w:val="10"/>
      </w:numPr>
      <w:spacing w:before="240" w:after="60"/>
      <w:outlineLvl w:val="2"/>
    </w:pPr>
    <w:rPr>
      <w:rFonts w:eastAsia="MS Gothic" w:cs="Calibri"/>
      <w:b/>
      <w:bCs/>
      <w:sz w:val="26"/>
      <w:szCs w:val="26"/>
      <w:lang w:val="en-GB"/>
    </w:rPr>
  </w:style>
  <w:style w:type="paragraph" w:styleId="Heading4">
    <w:name w:val="heading 4"/>
    <w:basedOn w:val="Normal"/>
    <w:next w:val="Normal"/>
    <w:link w:val="Heading4Char"/>
    <w:uiPriority w:val="99"/>
    <w:qFormat/>
    <w:rsid w:val="00B24A40"/>
    <w:pPr>
      <w:keepNext/>
      <w:keepLines/>
      <w:numPr>
        <w:ilvl w:val="3"/>
        <w:numId w:val="10"/>
      </w:numPr>
      <w:spacing w:before="200"/>
      <w:outlineLvl w:val="3"/>
    </w:pPr>
    <w:rPr>
      <w:rFonts w:ascii="Calibri Light" w:eastAsia="SimSun" w:hAnsi="Calibri Light" w:cs="Calibri Light"/>
      <w:b/>
      <w:bCs/>
      <w:i/>
      <w:iCs/>
      <w:color w:val="5B9BD5"/>
      <w:sz w:val="24"/>
    </w:rPr>
  </w:style>
  <w:style w:type="paragraph" w:styleId="Heading5">
    <w:name w:val="heading 5"/>
    <w:basedOn w:val="Normal"/>
    <w:next w:val="Normal"/>
    <w:link w:val="Heading5Char"/>
    <w:uiPriority w:val="99"/>
    <w:qFormat/>
    <w:rsid w:val="00B24A40"/>
    <w:pPr>
      <w:keepNext/>
      <w:keepLines/>
      <w:numPr>
        <w:ilvl w:val="4"/>
        <w:numId w:val="10"/>
      </w:numPr>
      <w:spacing w:before="200"/>
      <w:outlineLvl w:val="4"/>
    </w:pPr>
    <w:rPr>
      <w:rFonts w:ascii="Calibri Light" w:eastAsia="SimSun" w:hAnsi="Calibri Light" w:cs="Calibri Light"/>
      <w:color w:val="1F4D78"/>
      <w:sz w:val="24"/>
    </w:rPr>
  </w:style>
  <w:style w:type="paragraph" w:styleId="Heading6">
    <w:name w:val="heading 6"/>
    <w:basedOn w:val="Normal"/>
    <w:next w:val="Normal"/>
    <w:link w:val="Heading6Char"/>
    <w:uiPriority w:val="99"/>
    <w:qFormat/>
    <w:rsid w:val="00B24A40"/>
    <w:pPr>
      <w:keepNext/>
      <w:keepLines/>
      <w:numPr>
        <w:ilvl w:val="5"/>
        <w:numId w:val="10"/>
      </w:numPr>
      <w:spacing w:before="200"/>
      <w:outlineLvl w:val="5"/>
    </w:pPr>
    <w:rPr>
      <w:rFonts w:ascii="Calibri Light" w:eastAsia="SimSun" w:hAnsi="Calibri Light" w:cs="Calibri Light"/>
      <w:i/>
      <w:iCs/>
      <w:color w:val="1F4D78"/>
      <w:sz w:val="24"/>
    </w:rPr>
  </w:style>
  <w:style w:type="paragraph" w:styleId="Heading7">
    <w:name w:val="heading 7"/>
    <w:basedOn w:val="Normal"/>
    <w:next w:val="Normal"/>
    <w:link w:val="Heading7Char"/>
    <w:uiPriority w:val="99"/>
    <w:qFormat/>
    <w:rsid w:val="00B24A40"/>
    <w:pPr>
      <w:keepNext/>
      <w:keepLines/>
      <w:numPr>
        <w:ilvl w:val="6"/>
        <w:numId w:val="10"/>
      </w:numPr>
      <w:spacing w:before="200"/>
      <w:outlineLvl w:val="6"/>
    </w:pPr>
    <w:rPr>
      <w:rFonts w:ascii="Calibri Light" w:eastAsia="SimSun" w:hAnsi="Calibri Light" w:cs="Calibri Light"/>
      <w:i/>
      <w:iCs/>
      <w:color w:val="404040"/>
      <w:sz w:val="24"/>
    </w:rPr>
  </w:style>
  <w:style w:type="paragraph" w:styleId="Heading8">
    <w:name w:val="heading 8"/>
    <w:basedOn w:val="Normal"/>
    <w:next w:val="Normal"/>
    <w:link w:val="Heading8Char"/>
    <w:uiPriority w:val="99"/>
    <w:qFormat/>
    <w:rsid w:val="00B24A40"/>
    <w:pPr>
      <w:keepNext/>
      <w:keepLines/>
      <w:numPr>
        <w:ilvl w:val="7"/>
        <w:numId w:val="10"/>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B24A40"/>
    <w:pPr>
      <w:keepNext/>
      <w:keepLines/>
      <w:numPr>
        <w:ilvl w:val="8"/>
        <w:numId w:val="10"/>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character" w:styleId="Hyperlink">
    <w:name w:val="Hyperlink"/>
    <w:uiPriority w:val="99"/>
    <w:rsid w:val="00AB0AFB"/>
    <w:rPr>
      <w:color w:val="0000FF"/>
      <w:u w:val="single"/>
    </w:rPr>
  </w:style>
  <w:style w:type="paragraph" w:styleId="FootnoteText">
    <w:name w:val="footnote text"/>
    <w:basedOn w:val="Normal"/>
    <w:link w:val="FootnoteTextChar"/>
    <w:rsid w:val="00AB0AF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0AFB"/>
    <w:rPr>
      <w:rFonts w:ascii="Times New Roman" w:eastAsia="Times New Roman" w:hAnsi="Times New Roman" w:cs="Times New Roman"/>
      <w:sz w:val="20"/>
      <w:szCs w:val="20"/>
    </w:rPr>
  </w:style>
  <w:style w:type="character" w:styleId="FootnoteReference">
    <w:name w:val="footnote reference"/>
    <w:rsid w:val="00AB0AFB"/>
    <w:rPr>
      <w:vertAlign w:val="superscript"/>
    </w:rPr>
  </w:style>
  <w:style w:type="character" w:styleId="CommentReference">
    <w:name w:val="annotation reference"/>
    <w:basedOn w:val="DefaultParagraphFont"/>
    <w:uiPriority w:val="99"/>
    <w:semiHidden/>
    <w:unhideWhenUsed/>
    <w:rsid w:val="0059498F"/>
    <w:rPr>
      <w:sz w:val="16"/>
      <w:szCs w:val="16"/>
    </w:rPr>
  </w:style>
  <w:style w:type="paragraph" w:styleId="CommentText">
    <w:name w:val="annotation text"/>
    <w:basedOn w:val="Normal"/>
    <w:link w:val="CommentTextChar"/>
    <w:uiPriority w:val="99"/>
    <w:semiHidden/>
    <w:unhideWhenUsed/>
    <w:rsid w:val="0059498F"/>
    <w:rPr>
      <w:sz w:val="20"/>
      <w:szCs w:val="20"/>
    </w:rPr>
  </w:style>
  <w:style w:type="character" w:customStyle="1" w:styleId="CommentTextChar">
    <w:name w:val="Comment Text Char"/>
    <w:basedOn w:val="DefaultParagraphFont"/>
    <w:link w:val="CommentText"/>
    <w:uiPriority w:val="99"/>
    <w:semiHidden/>
    <w:rsid w:val="0059498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9498F"/>
    <w:rPr>
      <w:b/>
      <w:bCs/>
    </w:rPr>
  </w:style>
  <w:style w:type="character" w:customStyle="1" w:styleId="CommentSubjectChar">
    <w:name w:val="Comment Subject Char"/>
    <w:basedOn w:val="CommentTextChar"/>
    <w:link w:val="CommentSubject"/>
    <w:uiPriority w:val="99"/>
    <w:semiHidden/>
    <w:rsid w:val="0059498F"/>
    <w:rPr>
      <w:rFonts w:ascii="Calibri" w:hAnsi="Calibri"/>
      <w:b/>
      <w:bCs/>
      <w:sz w:val="20"/>
      <w:szCs w:val="20"/>
    </w:rPr>
  </w:style>
  <w:style w:type="paragraph" w:styleId="ListParagraph">
    <w:name w:val="List Paragraph"/>
    <w:basedOn w:val="Normal"/>
    <w:link w:val="ListParagraphChar"/>
    <w:uiPriority w:val="34"/>
    <w:qFormat/>
    <w:rsid w:val="00186556"/>
    <w:pPr>
      <w:ind w:left="720"/>
      <w:contextualSpacing/>
    </w:pPr>
  </w:style>
  <w:style w:type="paragraph" w:styleId="NormalWeb">
    <w:name w:val="Normal (Web)"/>
    <w:basedOn w:val="Normal"/>
    <w:link w:val="NormalWebChar"/>
    <w:uiPriority w:val="99"/>
    <w:rsid w:val="00B018A5"/>
    <w:pPr>
      <w:suppressAutoHyphens/>
      <w:spacing w:line="360" w:lineRule="auto"/>
    </w:pPr>
    <w:rPr>
      <w:rFonts w:ascii="Garamond" w:eastAsia="Times New Roman" w:hAnsi="Garamond" w:cs="Times New Roman"/>
      <w:sz w:val="24"/>
      <w:szCs w:val="20"/>
      <w:lang w:val="en-GB" w:eastAsia="ar-SA"/>
    </w:rPr>
  </w:style>
  <w:style w:type="character" w:customStyle="1" w:styleId="NormalWebChar">
    <w:name w:val="Normal (Web) Char"/>
    <w:link w:val="NormalWeb"/>
    <w:uiPriority w:val="99"/>
    <w:rsid w:val="00B018A5"/>
    <w:rPr>
      <w:rFonts w:ascii="Garamond" w:eastAsia="Times New Roman" w:hAnsi="Garamond" w:cs="Times New Roman"/>
      <w:szCs w:val="20"/>
      <w:lang w:val="en-GB" w:eastAsia="ar-SA"/>
    </w:rPr>
  </w:style>
  <w:style w:type="paragraph" w:styleId="Revision">
    <w:name w:val="Revision"/>
    <w:hidden/>
    <w:uiPriority w:val="99"/>
    <w:semiHidden/>
    <w:rsid w:val="0000155D"/>
    <w:rPr>
      <w:rFonts w:ascii="Calibri" w:hAnsi="Calibri"/>
      <w:sz w:val="22"/>
    </w:rPr>
  </w:style>
  <w:style w:type="paragraph" w:styleId="Footer">
    <w:name w:val="footer"/>
    <w:basedOn w:val="Normal"/>
    <w:link w:val="FooterChar"/>
    <w:uiPriority w:val="99"/>
    <w:unhideWhenUsed/>
    <w:rsid w:val="00144310"/>
    <w:pPr>
      <w:tabs>
        <w:tab w:val="center" w:pos="4320"/>
        <w:tab w:val="right" w:pos="8640"/>
      </w:tabs>
    </w:pPr>
  </w:style>
  <w:style w:type="character" w:customStyle="1" w:styleId="FooterChar">
    <w:name w:val="Footer Char"/>
    <w:basedOn w:val="DefaultParagraphFont"/>
    <w:link w:val="Footer"/>
    <w:uiPriority w:val="99"/>
    <w:rsid w:val="00144310"/>
    <w:rPr>
      <w:rFonts w:ascii="Calibri" w:hAnsi="Calibri"/>
      <w:sz w:val="22"/>
    </w:rPr>
  </w:style>
  <w:style w:type="character" w:styleId="PageNumber">
    <w:name w:val="page number"/>
    <w:basedOn w:val="DefaultParagraphFont"/>
    <w:uiPriority w:val="99"/>
    <w:semiHidden/>
    <w:unhideWhenUsed/>
    <w:rsid w:val="00144310"/>
  </w:style>
  <w:style w:type="character" w:customStyle="1" w:styleId="Heading2Char">
    <w:name w:val="Heading 2 Char"/>
    <w:basedOn w:val="DefaultParagraphFont"/>
    <w:link w:val="Heading2"/>
    <w:uiPriority w:val="99"/>
    <w:rsid w:val="00B24A40"/>
    <w:rPr>
      <w:rFonts w:ascii="Calibri" w:eastAsia="MS Gothic" w:hAnsi="Calibri" w:cs="Calibri"/>
      <w:b/>
      <w:bCs/>
      <w:i/>
      <w:iCs/>
      <w:sz w:val="28"/>
      <w:szCs w:val="28"/>
      <w:lang w:val="en-GB"/>
    </w:rPr>
  </w:style>
  <w:style w:type="character" w:customStyle="1" w:styleId="Heading3Char">
    <w:name w:val="Heading 3 Char"/>
    <w:basedOn w:val="DefaultParagraphFont"/>
    <w:link w:val="Heading3"/>
    <w:uiPriority w:val="99"/>
    <w:rsid w:val="00B24A40"/>
    <w:rPr>
      <w:rFonts w:ascii="Calibri" w:eastAsia="MS Gothic" w:hAnsi="Calibri" w:cs="Calibri"/>
      <w:b/>
      <w:bCs/>
      <w:sz w:val="26"/>
      <w:szCs w:val="26"/>
      <w:lang w:val="en-GB"/>
    </w:rPr>
  </w:style>
  <w:style w:type="character" w:customStyle="1" w:styleId="Heading4Char">
    <w:name w:val="Heading 4 Char"/>
    <w:basedOn w:val="DefaultParagraphFont"/>
    <w:link w:val="Heading4"/>
    <w:uiPriority w:val="99"/>
    <w:rsid w:val="00B24A40"/>
    <w:rPr>
      <w:rFonts w:ascii="Calibri Light" w:eastAsia="SimSun" w:hAnsi="Calibri Light" w:cs="Calibri Light"/>
      <w:b/>
      <w:bCs/>
      <w:i/>
      <w:iCs/>
      <w:color w:val="5B9BD5"/>
    </w:rPr>
  </w:style>
  <w:style w:type="character" w:customStyle="1" w:styleId="Heading5Char">
    <w:name w:val="Heading 5 Char"/>
    <w:basedOn w:val="DefaultParagraphFont"/>
    <w:link w:val="Heading5"/>
    <w:uiPriority w:val="99"/>
    <w:rsid w:val="00B24A40"/>
    <w:rPr>
      <w:rFonts w:ascii="Calibri Light" w:eastAsia="SimSun" w:hAnsi="Calibri Light" w:cs="Calibri Light"/>
      <w:color w:val="1F4D78"/>
    </w:rPr>
  </w:style>
  <w:style w:type="character" w:customStyle="1" w:styleId="Heading6Char">
    <w:name w:val="Heading 6 Char"/>
    <w:basedOn w:val="DefaultParagraphFont"/>
    <w:link w:val="Heading6"/>
    <w:uiPriority w:val="99"/>
    <w:rsid w:val="00B24A40"/>
    <w:rPr>
      <w:rFonts w:ascii="Calibri Light" w:eastAsia="SimSun" w:hAnsi="Calibri Light" w:cs="Calibri Light"/>
      <w:i/>
      <w:iCs/>
      <w:color w:val="1F4D78"/>
    </w:rPr>
  </w:style>
  <w:style w:type="character" w:customStyle="1" w:styleId="Heading7Char">
    <w:name w:val="Heading 7 Char"/>
    <w:basedOn w:val="DefaultParagraphFont"/>
    <w:link w:val="Heading7"/>
    <w:uiPriority w:val="99"/>
    <w:rsid w:val="00B24A40"/>
    <w:rPr>
      <w:rFonts w:ascii="Calibri Light" w:eastAsia="SimSun" w:hAnsi="Calibri Light" w:cs="Calibri Light"/>
      <w:i/>
      <w:iCs/>
      <w:color w:val="404040"/>
    </w:rPr>
  </w:style>
  <w:style w:type="character" w:customStyle="1" w:styleId="Heading8Char">
    <w:name w:val="Heading 8 Char"/>
    <w:basedOn w:val="DefaultParagraphFont"/>
    <w:link w:val="Heading8"/>
    <w:uiPriority w:val="99"/>
    <w:rsid w:val="00B24A40"/>
    <w:rPr>
      <w:rFonts w:ascii="Calibri Light" w:eastAsia="SimSun" w:hAnsi="Calibri Light" w:cs="Calibri Light"/>
      <w:color w:val="404040"/>
      <w:sz w:val="20"/>
      <w:szCs w:val="20"/>
    </w:rPr>
  </w:style>
  <w:style w:type="character" w:customStyle="1" w:styleId="Heading9Char">
    <w:name w:val="Heading 9 Char"/>
    <w:basedOn w:val="DefaultParagraphFont"/>
    <w:link w:val="Heading9"/>
    <w:uiPriority w:val="99"/>
    <w:rsid w:val="00B24A40"/>
    <w:rPr>
      <w:rFonts w:ascii="Calibri Light" w:eastAsia="SimSun" w:hAnsi="Calibri Light" w:cs="Calibri Light"/>
      <w:i/>
      <w:iCs/>
      <w:color w:val="404040"/>
      <w:sz w:val="20"/>
      <w:szCs w:val="20"/>
    </w:rPr>
  </w:style>
  <w:style w:type="character" w:styleId="FollowedHyperlink">
    <w:name w:val="FollowedHyperlink"/>
    <w:basedOn w:val="DefaultParagraphFont"/>
    <w:uiPriority w:val="99"/>
    <w:semiHidden/>
    <w:unhideWhenUsed/>
    <w:rsid w:val="003F35D1"/>
    <w:rPr>
      <w:color w:val="800080" w:themeColor="followedHyperlink"/>
      <w:u w:val="single"/>
    </w:rPr>
  </w:style>
  <w:style w:type="paragraph" w:styleId="HTMLPreformatted">
    <w:name w:val="HTML Preformatted"/>
    <w:basedOn w:val="Normal"/>
    <w:link w:val="HTMLPreformattedChar"/>
    <w:uiPriority w:val="99"/>
    <w:unhideWhenUsed/>
    <w:rsid w:val="00EB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EB0A9F"/>
    <w:rPr>
      <w:rFonts w:ascii="Courier" w:hAnsi="Courier" w:cs="Courier"/>
      <w:sz w:val="20"/>
      <w:szCs w:val="20"/>
      <w:lang w:val="en-GB"/>
    </w:rPr>
  </w:style>
  <w:style w:type="paragraph" w:styleId="Header">
    <w:name w:val="header"/>
    <w:basedOn w:val="Normal"/>
    <w:link w:val="HeaderChar"/>
    <w:uiPriority w:val="99"/>
    <w:unhideWhenUsed/>
    <w:rsid w:val="009B1CCF"/>
    <w:pPr>
      <w:tabs>
        <w:tab w:val="center" w:pos="4320"/>
        <w:tab w:val="right" w:pos="8640"/>
      </w:tabs>
    </w:pPr>
  </w:style>
  <w:style w:type="character" w:customStyle="1" w:styleId="HeaderChar">
    <w:name w:val="Header Char"/>
    <w:basedOn w:val="DefaultParagraphFont"/>
    <w:link w:val="Header"/>
    <w:uiPriority w:val="99"/>
    <w:rsid w:val="009B1CCF"/>
    <w:rPr>
      <w:rFonts w:ascii="Calibri" w:hAnsi="Calibri"/>
      <w:sz w:val="22"/>
    </w:rPr>
  </w:style>
  <w:style w:type="character" w:customStyle="1" w:styleId="ListParagraphChar">
    <w:name w:val="List Paragraph Char"/>
    <w:link w:val="ListParagraph"/>
    <w:uiPriority w:val="34"/>
    <w:rsid w:val="00F62CB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033">
      <w:bodyDiv w:val="1"/>
      <w:marLeft w:val="0"/>
      <w:marRight w:val="0"/>
      <w:marTop w:val="0"/>
      <w:marBottom w:val="0"/>
      <w:divBdr>
        <w:top w:val="none" w:sz="0" w:space="0" w:color="auto"/>
        <w:left w:val="none" w:sz="0" w:space="0" w:color="auto"/>
        <w:bottom w:val="none" w:sz="0" w:space="0" w:color="auto"/>
        <w:right w:val="none" w:sz="0" w:space="0" w:color="auto"/>
      </w:divBdr>
    </w:div>
    <w:div w:id="266934503">
      <w:bodyDiv w:val="1"/>
      <w:marLeft w:val="0"/>
      <w:marRight w:val="0"/>
      <w:marTop w:val="0"/>
      <w:marBottom w:val="0"/>
      <w:divBdr>
        <w:top w:val="none" w:sz="0" w:space="0" w:color="auto"/>
        <w:left w:val="none" w:sz="0" w:space="0" w:color="auto"/>
        <w:bottom w:val="none" w:sz="0" w:space="0" w:color="auto"/>
        <w:right w:val="none" w:sz="0" w:space="0" w:color="auto"/>
      </w:divBdr>
    </w:div>
    <w:div w:id="665019564">
      <w:bodyDiv w:val="1"/>
      <w:marLeft w:val="0"/>
      <w:marRight w:val="0"/>
      <w:marTop w:val="0"/>
      <w:marBottom w:val="0"/>
      <w:divBdr>
        <w:top w:val="none" w:sz="0" w:space="0" w:color="auto"/>
        <w:left w:val="none" w:sz="0" w:space="0" w:color="auto"/>
        <w:bottom w:val="none" w:sz="0" w:space="0" w:color="auto"/>
        <w:right w:val="none" w:sz="0" w:space="0" w:color="auto"/>
      </w:divBdr>
    </w:div>
    <w:div w:id="212992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drafts/raa-pp-charter-22oct13-en.pdf" TargetMode="External"/><Relationship Id="rId20" Type="http://schemas.openxmlformats.org/officeDocument/2006/relationships/hyperlink" Target="https://community.icann.org/x/AiHxAg" TargetMode="External"/><Relationship Id="rId21" Type="http://schemas.openxmlformats.org/officeDocument/2006/relationships/hyperlink" Target="https://community.icann.org/x/uaxYAw" TargetMode="External"/><Relationship Id="rId22" Type="http://schemas.openxmlformats.org/officeDocument/2006/relationships/hyperlink" Target="https://community.icann.org/x/9iCfAg" TargetMode="External"/><Relationship Id="rId23" Type="http://schemas.openxmlformats.org/officeDocument/2006/relationships/hyperlink" Target="https://www.icann.org/public-comments/ppsai-recommendations-2016-02-05-en"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yperlink" Target="https://www.icann.org/resources/pages/approved-with-specs-2013-09-17-en" TargetMode="External"/><Relationship Id="rId27" Type="http://schemas.openxmlformats.org/officeDocument/2006/relationships/hyperlink" Target="https://www.icann.org/resources/pages/approved-with-specs-2013-09-17-en" TargetMode="External"/><Relationship Id="rId28" Type="http://schemas.openxmlformats.org/officeDocument/2006/relationships/hyperlink" Target="https://www.icann.org/resources/pages/registrars/transfers-en" TargetMode="External"/><Relationship Id="rId29" Type="http://schemas.openxmlformats.org/officeDocument/2006/relationships/hyperlink" Target="https://www.icann.org/resources/pages/errp-2013-02-28-en" TargetMode="External"/><Relationship Id="rId30" Type="http://schemas.openxmlformats.org/officeDocument/2006/relationships/hyperlink" Target="https://www.icann.org/resources/pages/approved-with-specs-2013-09-17-en"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gnso.icann.org/en/issues/raa/negotiations-conclusion-16sep13-en.pdf" TargetMode="External"/><Relationship Id="rId11" Type="http://schemas.openxmlformats.org/officeDocument/2006/relationships/hyperlink" Target="https://www.icann.org/public-comments/ppsai-initial-2015-05-05-en" TargetMode="External"/><Relationship Id="rId12" Type="http://schemas.openxmlformats.org/officeDocument/2006/relationships/hyperlink" Target="http://gnso.icann.org/en/issues/raa/ppsai-final-07dec15-en.pdf" TargetMode="External"/><Relationship Id="rId13" Type="http://schemas.openxmlformats.org/officeDocument/2006/relationships/hyperlink" Target="http://gnso.icann.org/en/issues/raa/ppsai-final-07dec15-en.pdf" TargetMode="External"/><Relationship Id="rId14" Type="http://schemas.openxmlformats.org/officeDocument/2006/relationships/hyperlink" Target="http://gnso.icann.org/en/council/resolutions" TargetMode="External"/><Relationship Id="rId15" Type="http://schemas.openxmlformats.org/officeDocument/2006/relationships/hyperlink" Target="http://gnso.icann.org/en/meetings/transcript-council-21jan16-en.pdf" TargetMode="External"/><Relationship Id="rId16" Type="http://schemas.openxmlformats.org/officeDocument/2006/relationships/hyperlink" Target="http://gnso.icann.org/en/meetings/minutes-council-21jan16-en.htm" TargetMode="External"/><Relationship Id="rId17" Type="http://schemas.openxmlformats.org/officeDocument/2006/relationships/hyperlink" Target="https://community.icann.org/x/SRzRAg" TargetMode="External"/><Relationship Id="rId18" Type="http://schemas.openxmlformats.org/officeDocument/2006/relationships/hyperlink" Target="https://www.icann.org/public-comments/ppsai-initial-2015-05-05-en" TargetMode="External"/><Relationship Id="rId19" Type="http://schemas.openxmlformats.org/officeDocument/2006/relationships/hyperlink" Target="https://community.icann.org/x/KIFCA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nso.icann.org/en/council/resolutions" TargetMode="External"/><Relationship Id="rId8" Type="http://schemas.openxmlformats.org/officeDocument/2006/relationships/hyperlink" Target="http://gnso.icann.org/en/issues/raa/ppsai-final-07dec15-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applicants/agb/agreement-approved-20nov13-en.pdf" TargetMode="External"/><Relationship Id="rId2" Type="http://schemas.openxmlformats.org/officeDocument/2006/relationships/hyperlink" Target="https://www.icann.org/en/system/files/correspondence/gac-to-board-11ap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5686</Words>
  <Characters>32412</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HOFFMANN</dc:creator>
  <cp:lastModifiedBy>Microsoft Office User</cp:lastModifiedBy>
  <cp:revision>2</cp:revision>
  <cp:lastPrinted>2016-02-08T17:37:00Z</cp:lastPrinted>
  <dcterms:created xsi:type="dcterms:W3CDTF">2016-02-08T17:38:00Z</dcterms:created>
  <dcterms:modified xsi:type="dcterms:W3CDTF">2016-02-08T17:38:00Z</dcterms:modified>
</cp:coreProperties>
</file>