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61" w:rsidRPr="00330D61" w:rsidRDefault="00BE5D08">
      <w:pPr>
        <w:rPr>
          <w:b/>
          <w:sz w:val="18"/>
          <w:szCs w:val="18"/>
        </w:rPr>
      </w:pPr>
      <w:r>
        <w:rPr>
          <w:b/>
          <w:sz w:val="18"/>
          <w:szCs w:val="18"/>
        </w:rPr>
        <w:t xml:space="preserve">DRAFT </w:t>
      </w:r>
      <w:r w:rsidR="00330D61">
        <w:rPr>
          <w:b/>
          <w:sz w:val="18"/>
          <w:szCs w:val="18"/>
        </w:rPr>
        <w:t xml:space="preserve">LIST OF </w:t>
      </w:r>
      <w:r w:rsidR="00330D61" w:rsidRPr="00330D61">
        <w:rPr>
          <w:b/>
          <w:sz w:val="18"/>
          <w:szCs w:val="18"/>
        </w:rPr>
        <w:t>DEFINITIONS &amp; DESCRIPTIONS OF THE MOST COMMONLY USED POLICY DEVELOPMENT STRUCTURES AND MECHANISMS IN THE GENERIC NAMES SUPPORTING ORGANIZATION (GNSO)</w:t>
      </w:r>
      <w:r>
        <w:rPr>
          <w:b/>
          <w:sz w:val="18"/>
          <w:szCs w:val="18"/>
        </w:rPr>
        <w:t xml:space="preserve"> – 11 AUGUST 2015</w:t>
      </w:r>
    </w:p>
    <w:p w:rsidR="00D26725" w:rsidRDefault="00330D61">
      <w:pPr>
        <w:rPr>
          <w:sz w:val="18"/>
          <w:szCs w:val="18"/>
        </w:rPr>
      </w:pPr>
      <w:r>
        <w:rPr>
          <w:sz w:val="18"/>
          <w:szCs w:val="18"/>
        </w:rPr>
        <w:t>This document contains a list of the mechanisms and structures most commonly used by the GNSO for its policy development activities and other projects. Each mechanism or structure listed has been defined, its common abbreviation indicated, and any additional relevant points included in a separate column</w:t>
      </w:r>
      <w:r w:rsidR="0021392D">
        <w:rPr>
          <w:sz w:val="18"/>
          <w:szCs w:val="18"/>
        </w:rPr>
        <w:t>, including the expected deliverable(s) from each group</w:t>
      </w:r>
      <w:r>
        <w:rPr>
          <w:sz w:val="18"/>
          <w:szCs w:val="18"/>
        </w:rPr>
        <w:t xml:space="preserve">. </w:t>
      </w:r>
    </w:p>
    <w:p w:rsidR="00315366" w:rsidRPr="0069221F" w:rsidRDefault="00315366">
      <w:pPr>
        <w:rPr>
          <w:sz w:val="18"/>
          <w:szCs w:val="18"/>
        </w:rPr>
      </w:pPr>
      <w:r>
        <w:rPr>
          <w:sz w:val="18"/>
          <w:szCs w:val="18"/>
        </w:rPr>
        <w:t>PLEASE NOTE THAT THIS IS A DRAFT DOCUMENT BEING CIRCULATED FOR REVIEW PURPOSES ONLY AT THIS STAGE.</w:t>
      </w:r>
    </w:p>
    <w:p w:rsidR="00E96F32" w:rsidRPr="0069221F" w:rsidRDefault="00315366">
      <w:pPr>
        <w:rPr>
          <w:b/>
          <w:sz w:val="18"/>
          <w:szCs w:val="18"/>
        </w:rPr>
      </w:pPr>
      <w:r>
        <w:rPr>
          <w:b/>
          <w:sz w:val="18"/>
          <w:szCs w:val="18"/>
        </w:rPr>
        <w:t xml:space="preserve">I. </w:t>
      </w:r>
      <w:r w:rsidR="00E96F32" w:rsidRPr="0069221F">
        <w:rPr>
          <w:b/>
          <w:sz w:val="18"/>
          <w:szCs w:val="18"/>
        </w:rPr>
        <w:t>Group Structures:</w:t>
      </w:r>
    </w:p>
    <w:tbl>
      <w:tblPr>
        <w:tblStyle w:val="TableGrid"/>
        <w:tblW w:w="0" w:type="auto"/>
        <w:tblLook w:val="04A0" w:firstRow="1" w:lastRow="0" w:firstColumn="1" w:lastColumn="0" w:noHBand="0" w:noVBand="1"/>
      </w:tblPr>
      <w:tblGrid>
        <w:gridCol w:w="1419"/>
        <w:gridCol w:w="778"/>
        <w:gridCol w:w="2902"/>
        <w:gridCol w:w="2559"/>
        <w:gridCol w:w="1918"/>
      </w:tblGrid>
      <w:tr w:rsidR="00330D61" w:rsidRPr="0069221F" w:rsidTr="00155BBE">
        <w:trPr>
          <w:cantSplit/>
          <w:tblHeader/>
        </w:trPr>
        <w:tc>
          <w:tcPr>
            <w:tcW w:w="1419" w:type="dxa"/>
            <w:shd w:val="clear" w:color="auto" w:fill="BFBFBF" w:themeFill="background1" w:themeFillShade="BF"/>
          </w:tcPr>
          <w:p w:rsidR="00330D61" w:rsidRPr="0069221F" w:rsidRDefault="00330D61" w:rsidP="00E96F32">
            <w:pPr>
              <w:jc w:val="center"/>
              <w:rPr>
                <w:b/>
                <w:sz w:val="18"/>
                <w:szCs w:val="18"/>
              </w:rPr>
            </w:pPr>
            <w:r>
              <w:rPr>
                <w:b/>
                <w:sz w:val="18"/>
                <w:szCs w:val="18"/>
              </w:rPr>
              <w:t xml:space="preserve">Group </w:t>
            </w:r>
            <w:r w:rsidRPr="0069221F">
              <w:rPr>
                <w:b/>
                <w:sz w:val="18"/>
                <w:szCs w:val="18"/>
              </w:rPr>
              <w:t>Name</w:t>
            </w:r>
          </w:p>
        </w:tc>
        <w:tc>
          <w:tcPr>
            <w:tcW w:w="778" w:type="dxa"/>
            <w:shd w:val="clear" w:color="auto" w:fill="BFBFBF" w:themeFill="background1" w:themeFillShade="BF"/>
          </w:tcPr>
          <w:p w:rsidR="00330D61" w:rsidRPr="0069221F" w:rsidRDefault="00330D61" w:rsidP="00A12844">
            <w:pPr>
              <w:jc w:val="center"/>
              <w:rPr>
                <w:b/>
                <w:sz w:val="18"/>
                <w:szCs w:val="18"/>
              </w:rPr>
            </w:pPr>
            <w:r w:rsidRPr="0069221F">
              <w:rPr>
                <w:b/>
                <w:sz w:val="18"/>
                <w:szCs w:val="18"/>
              </w:rPr>
              <w:t>Short</w:t>
            </w:r>
            <w:r>
              <w:rPr>
                <w:b/>
                <w:sz w:val="18"/>
                <w:szCs w:val="18"/>
              </w:rPr>
              <w:t xml:space="preserve"> </w:t>
            </w:r>
            <w:r w:rsidRPr="0069221F">
              <w:rPr>
                <w:b/>
                <w:sz w:val="18"/>
                <w:szCs w:val="18"/>
              </w:rPr>
              <w:t>Name</w:t>
            </w:r>
          </w:p>
        </w:tc>
        <w:tc>
          <w:tcPr>
            <w:tcW w:w="2902" w:type="dxa"/>
            <w:shd w:val="clear" w:color="auto" w:fill="BFBFBF" w:themeFill="background1" w:themeFillShade="BF"/>
          </w:tcPr>
          <w:p w:rsidR="00330D61" w:rsidRPr="0069221F" w:rsidRDefault="00330D61" w:rsidP="00E96F32">
            <w:pPr>
              <w:jc w:val="center"/>
              <w:rPr>
                <w:b/>
                <w:sz w:val="18"/>
                <w:szCs w:val="18"/>
              </w:rPr>
            </w:pPr>
            <w:r w:rsidRPr="0069221F">
              <w:rPr>
                <w:b/>
                <w:sz w:val="18"/>
                <w:szCs w:val="18"/>
              </w:rPr>
              <w:t>Definition</w:t>
            </w:r>
          </w:p>
        </w:tc>
        <w:tc>
          <w:tcPr>
            <w:tcW w:w="2559" w:type="dxa"/>
            <w:shd w:val="clear" w:color="auto" w:fill="BFBFBF" w:themeFill="background1" w:themeFillShade="BF"/>
          </w:tcPr>
          <w:p w:rsidR="00330D61" w:rsidRPr="0069221F" w:rsidRDefault="00330D61" w:rsidP="00E96F32">
            <w:pPr>
              <w:jc w:val="center"/>
              <w:rPr>
                <w:b/>
                <w:sz w:val="18"/>
                <w:szCs w:val="18"/>
              </w:rPr>
            </w:pPr>
            <w:r>
              <w:rPr>
                <w:b/>
                <w:sz w:val="18"/>
                <w:szCs w:val="18"/>
              </w:rPr>
              <w:t>Notes</w:t>
            </w:r>
          </w:p>
        </w:tc>
        <w:tc>
          <w:tcPr>
            <w:tcW w:w="1918" w:type="dxa"/>
            <w:shd w:val="clear" w:color="auto" w:fill="BFBFBF" w:themeFill="background1" w:themeFillShade="BF"/>
          </w:tcPr>
          <w:p w:rsidR="00330D61" w:rsidRDefault="00330D61" w:rsidP="00E96F32">
            <w:pPr>
              <w:jc w:val="center"/>
              <w:rPr>
                <w:b/>
                <w:sz w:val="18"/>
                <w:szCs w:val="18"/>
              </w:rPr>
            </w:pPr>
            <w:r>
              <w:rPr>
                <w:b/>
                <w:sz w:val="18"/>
                <w:szCs w:val="18"/>
              </w:rPr>
              <w:t>Expected Deliverables/Output</w:t>
            </w:r>
          </w:p>
        </w:tc>
      </w:tr>
      <w:tr w:rsidR="00155BBE" w:rsidRPr="0069221F" w:rsidTr="00315366">
        <w:trPr>
          <w:cantSplit/>
        </w:trPr>
        <w:tc>
          <w:tcPr>
            <w:tcW w:w="9576" w:type="dxa"/>
            <w:gridSpan w:val="5"/>
            <w:shd w:val="clear" w:color="auto" w:fill="D9D9D9" w:themeFill="background1" w:themeFillShade="D9"/>
          </w:tcPr>
          <w:p w:rsidR="00155BBE" w:rsidRDefault="00155BBE" w:rsidP="00CC5FC6">
            <w:pPr>
              <w:rPr>
                <w:sz w:val="18"/>
                <w:szCs w:val="18"/>
              </w:rPr>
            </w:pPr>
            <w:r>
              <w:rPr>
                <w:sz w:val="18"/>
                <w:szCs w:val="18"/>
              </w:rPr>
              <w:t>The following group structures are the basis for how work gets done in the GNSO. Some of these structures are also used outside the GNSO context – where this is the case, a suggestion for standardization of group structures has been made as indicated in the Notes column.</w:t>
            </w:r>
          </w:p>
        </w:tc>
      </w:tr>
      <w:tr w:rsidR="00330D61" w:rsidRPr="0069221F" w:rsidTr="00155BBE">
        <w:trPr>
          <w:cantSplit/>
        </w:trPr>
        <w:tc>
          <w:tcPr>
            <w:tcW w:w="1419" w:type="dxa"/>
          </w:tcPr>
          <w:p w:rsidR="00330D61" w:rsidRPr="0069221F" w:rsidRDefault="00330D61">
            <w:pPr>
              <w:rPr>
                <w:sz w:val="18"/>
                <w:szCs w:val="18"/>
              </w:rPr>
            </w:pPr>
            <w:r w:rsidRPr="0069221F">
              <w:rPr>
                <w:sz w:val="18"/>
                <w:szCs w:val="18"/>
              </w:rPr>
              <w:t>Drafting Team</w:t>
            </w:r>
          </w:p>
        </w:tc>
        <w:tc>
          <w:tcPr>
            <w:tcW w:w="778" w:type="dxa"/>
          </w:tcPr>
          <w:p w:rsidR="00330D61" w:rsidRPr="0069221F" w:rsidRDefault="00330D61">
            <w:pPr>
              <w:rPr>
                <w:sz w:val="18"/>
                <w:szCs w:val="18"/>
              </w:rPr>
            </w:pPr>
            <w:r w:rsidRPr="0069221F">
              <w:rPr>
                <w:sz w:val="18"/>
                <w:szCs w:val="18"/>
              </w:rPr>
              <w:t>DT</w:t>
            </w:r>
          </w:p>
        </w:tc>
        <w:tc>
          <w:tcPr>
            <w:tcW w:w="2902" w:type="dxa"/>
          </w:tcPr>
          <w:p w:rsidR="00330D61" w:rsidRPr="00330D61" w:rsidRDefault="00330D61" w:rsidP="00330D61">
            <w:pPr>
              <w:pStyle w:val="ListParagraph"/>
              <w:numPr>
                <w:ilvl w:val="0"/>
                <w:numId w:val="1"/>
              </w:numPr>
              <w:ind w:left="252" w:hanging="180"/>
              <w:rPr>
                <w:sz w:val="18"/>
                <w:szCs w:val="18"/>
              </w:rPr>
            </w:pPr>
            <w:r w:rsidRPr="0069221F">
              <w:rPr>
                <w:sz w:val="18"/>
                <w:szCs w:val="18"/>
              </w:rPr>
              <w:t>A group of community volunteers tasked by the GNSO Council to develop a specific proposal or other document for GNSO Council review</w:t>
            </w:r>
            <w:r>
              <w:rPr>
                <w:sz w:val="18"/>
                <w:szCs w:val="18"/>
              </w:rPr>
              <w:t xml:space="preserve"> that does not specifically fall within the remit of other documented GNSO processes</w:t>
            </w:r>
            <w:r w:rsidRPr="0069221F">
              <w:rPr>
                <w:sz w:val="18"/>
                <w:szCs w:val="18"/>
              </w:rPr>
              <w:t xml:space="preserve">, e.g. a Working Group charter, a response to a Board or SO or AC request, proposed language for potential new GNSO procedures, etc. </w:t>
            </w:r>
          </w:p>
        </w:tc>
        <w:tc>
          <w:tcPr>
            <w:tcW w:w="2559" w:type="dxa"/>
          </w:tcPr>
          <w:p w:rsidR="00330D61" w:rsidRDefault="00330D61" w:rsidP="00A12844">
            <w:pPr>
              <w:pStyle w:val="ListParagraph"/>
              <w:numPr>
                <w:ilvl w:val="0"/>
                <w:numId w:val="1"/>
              </w:numPr>
              <w:ind w:left="252" w:hanging="180"/>
              <w:rPr>
                <w:sz w:val="18"/>
                <w:szCs w:val="18"/>
              </w:rPr>
            </w:pPr>
            <w:r>
              <w:rPr>
                <w:sz w:val="18"/>
                <w:szCs w:val="18"/>
              </w:rPr>
              <w:t>Does not need a formal charter (e.g. in contrast to a Working Group)</w:t>
            </w:r>
          </w:p>
          <w:p w:rsidR="00330D61" w:rsidRDefault="00330D61" w:rsidP="007C5C82">
            <w:pPr>
              <w:pStyle w:val="ListParagraph"/>
              <w:numPr>
                <w:ilvl w:val="0"/>
                <w:numId w:val="1"/>
              </w:numPr>
              <w:ind w:left="252" w:hanging="180"/>
              <w:rPr>
                <w:sz w:val="18"/>
                <w:szCs w:val="18"/>
              </w:rPr>
            </w:pPr>
            <w:r>
              <w:rPr>
                <w:sz w:val="18"/>
                <w:szCs w:val="18"/>
              </w:rPr>
              <w:t>DTs should be used only where a specific deliverable has been identified as being required within a certain time frame</w:t>
            </w:r>
          </w:p>
          <w:p w:rsidR="00330D61" w:rsidRDefault="00330D61" w:rsidP="007C5C82">
            <w:pPr>
              <w:pStyle w:val="ListParagraph"/>
              <w:numPr>
                <w:ilvl w:val="0"/>
                <w:numId w:val="1"/>
              </w:numPr>
              <w:ind w:left="252" w:hanging="180"/>
              <w:rPr>
                <w:sz w:val="18"/>
                <w:szCs w:val="18"/>
              </w:rPr>
            </w:pPr>
            <w:r>
              <w:rPr>
                <w:sz w:val="18"/>
                <w:szCs w:val="18"/>
              </w:rPr>
              <w:t>Cannot be used where document drafting is already included as an intermediate necessary preceding step in existing processes (e.g. Issue Reports)</w:t>
            </w:r>
          </w:p>
          <w:p w:rsidR="00330D61" w:rsidRPr="0069221F" w:rsidRDefault="00330D61" w:rsidP="007C5C82">
            <w:pPr>
              <w:pStyle w:val="ListParagraph"/>
              <w:numPr>
                <w:ilvl w:val="0"/>
                <w:numId w:val="1"/>
              </w:numPr>
              <w:ind w:left="252" w:hanging="180"/>
              <w:rPr>
                <w:sz w:val="18"/>
                <w:szCs w:val="18"/>
              </w:rPr>
            </w:pPr>
            <w:r>
              <w:rPr>
                <w:sz w:val="18"/>
                <w:szCs w:val="18"/>
              </w:rPr>
              <w:t>Where appropriate, this type of group can also be used for the proposed new GNSO non-PDP related processes (e.g. GNSO Guidance Process or GNSO Input Process)</w:t>
            </w:r>
          </w:p>
        </w:tc>
        <w:tc>
          <w:tcPr>
            <w:tcW w:w="1918" w:type="dxa"/>
          </w:tcPr>
          <w:p w:rsidR="00330D61" w:rsidRDefault="00330D61" w:rsidP="00A12844">
            <w:pPr>
              <w:pStyle w:val="ListParagraph"/>
              <w:numPr>
                <w:ilvl w:val="0"/>
                <w:numId w:val="1"/>
              </w:numPr>
              <w:ind w:left="252" w:hanging="180"/>
              <w:rPr>
                <w:sz w:val="18"/>
                <w:szCs w:val="18"/>
              </w:rPr>
            </w:pPr>
            <w:r>
              <w:rPr>
                <w:sz w:val="18"/>
                <w:szCs w:val="18"/>
              </w:rPr>
              <w:t>Depends on the scope of the task (e.g. WG Charter, letter to the Board etc.) but this should be specified when the group is convened</w:t>
            </w:r>
          </w:p>
        </w:tc>
      </w:tr>
      <w:tr w:rsidR="00330D61" w:rsidRPr="0069221F" w:rsidTr="00155BBE">
        <w:trPr>
          <w:cantSplit/>
        </w:trPr>
        <w:tc>
          <w:tcPr>
            <w:tcW w:w="1419" w:type="dxa"/>
          </w:tcPr>
          <w:p w:rsidR="00330D61" w:rsidRPr="0069221F" w:rsidRDefault="00330D61">
            <w:pPr>
              <w:rPr>
                <w:sz w:val="18"/>
                <w:szCs w:val="18"/>
              </w:rPr>
            </w:pPr>
            <w:r w:rsidRPr="0069221F">
              <w:rPr>
                <w:sz w:val="18"/>
                <w:szCs w:val="18"/>
              </w:rPr>
              <w:t>Working Group</w:t>
            </w:r>
          </w:p>
        </w:tc>
        <w:tc>
          <w:tcPr>
            <w:tcW w:w="778" w:type="dxa"/>
          </w:tcPr>
          <w:p w:rsidR="00330D61" w:rsidRPr="0069221F" w:rsidRDefault="00330D61">
            <w:pPr>
              <w:rPr>
                <w:sz w:val="18"/>
                <w:szCs w:val="18"/>
              </w:rPr>
            </w:pPr>
            <w:r w:rsidRPr="0069221F">
              <w:rPr>
                <w:sz w:val="18"/>
                <w:szCs w:val="18"/>
              </w:rPr>
              <w:t>WG</w:t>
            </w:r>
          </w:p>
        </w:tc>
        <w:tc>
          <w:tcPr>
            <w:tcW w:w="2902" w:type="dxa"/>
          </w:tcPr>
          <w:p w:rsidR="00330D61" w:rsidRPr="0069221F" w:rsidRDefault="00330D61" w:rsidP="0069221F">
            <w:pPr>
              <w:pStyle w:val="ListParagraph"/>
              <w:numPr>
                <w:ilvl w:val="0"/>
                <w:numId w:val="1"/>
              </w:numPr>
              <w:ind w:left="252" w:hanging="180"/>
              <w:rPr>
                <w:sz w:val="18"/>
                <w:szCs w:val="18"/>
              </w:rPr>
            </w:pPr>
            <w:r w:rsidRPr="0069221F">
              <w:rPr>
                <w:sz w:val="18"/>
                <w:szCs w:val="18"/>
              </w:rPr>
              <w:t xml:space="preserve">A group of community volunteers formally chartered by </w:t>
            </w:r>
            <w:r>
              <w:rPr>
                <w:sz w:val="18"/>
                <w:szCs w:val="18"/>
              </w:rPr>
              <w:t>the GNSO Council</w:t>
            </w:r>
            <w:r w:rsidRPr="0069221F">
              <w:rPr>
                <w:sz w:val="18"/>
                <w:szCs w:val="18"/>
              </w:rPr>
              <w:t xml:space="preserve"> to work on specific questions, issues and tasks as detailed in its Charter. </w:t>
            </w:r>
          </w:p>
          <w:p w:rsidR="00330D61" w:rsidRPr="0069221F" w:rsidRDefault="00330D61" w:rsidP="0069221F">
            <w:pPr>
              <w:pStyle w:val="ListParagraph"/>
              <w:numPr>
                <w:ilvl w:val="0"/>
                <w:numId w:val="1"/>
              </w:numPr>
              <w:ind w:left="252" w:hanging="180"/>
              <w:rPr>
                <w:sz w:val="18"/>
                <w:szCs w:val="18"/>
              </w:rPr>
            </w:pPr>
            <w:r>
              <w:rPr>
                <w:sz w:val="18"/>
                <w:szCs w:val="18"/>
              </w:rPr>
              <w:t>The Working Group’s</w:t>
            </w:r>
            <w:r w:rsidRPr="0069221F">
              <w:rPr>
                <w:sz w:val="18"/>
                <w:szCs w:val="18"/>
              </w:rPr>
              <w:t xml:space="preserve"> deliberations, processes and outcomes are expressly governed by the GNSO’s Working Group Guidelines and, in the case of Policy Development Process (PDP) Working Groups the GNSO’s PDP Manual is also applicable (note that GNSO Working Groups comprise both PDP and non-PDP Working Groups). </w:t>
            </w:r>
          </w:p>
          <w:p w:rsidR="00330D61" w:rsidRPr="0069221F" w:rsidRDefault="00330D61" w:rsidP="00330D61">
            <w:pPr>
              <w:ind w:left="72"/>
            </w:pPr>
          </w:p>
        </w:tc>
        <w:tc>
          <w:tcPr>
            <w:tcW w:w="2559" w:type="dxa"/>
          </w:tcPr>
          <w:p w:rsidR="00330D61" w:rsidRPr="0069221F" w:rsidRDefault="00330D61" w:rsidP="0069221F">
            <w:pPr>
              <w:pStyle w:val="ListParagraph"/>
              <w:numPr>
                <w:ilvl w:val="0"/>
                <w:numId w:val="1"/>
              </w:numPr>
              <w:ind w:left="252" w:hanging="180"/>
              <w:rPr>
                <w:sz w:val="18"/>
                <w:szCs w:val="18"/>
              </w:rPr>
            </w:pPr>
            <w:r>
              <w:rPr>
                <w:sz w:val="18"/>
                <w:szCs w:val="18"/>
              </w:rPr>
              <w:t>Cross-Community Working Groups are covered separately, see below</w:t>
            </w:r>
          </w:p>
        </w:tc>
        <w:tc>
          <w:tcPr>
            <w:tcW w:w="1918" w:type="dxa"/>
          </w:tcPr>
          <w:p w:rsidR="00330D61" w:rsidRDefault="00330D61" w:rsidP="0069221F">
            <w:pPr>
              <w:pStyle w:val="ListParagraph"/>
              <w:numPr>
                <w:ilvl w:val="0"/>
                <w:numId w:val="1"/>
              </w:numPr>
              <w:ind w:left="252" w:hanging="180"/>
              <w:rPr>
                <w:sz w:val="18"/>
                <w:szCs w:val="18"/>
              </w:rPr>
            </w:pPr>
            <w:r>
              <w:rPr>
                <w:sz w:val="18"/>
                <w:szCs w:val="18"/>
              </w:rPr>
              <w:t>At minimum, an Initial Report and Final Report (note that these are mandatory for PDP Working Groups but are customarily also expected from non-PDP Working Groups)</w:t>
            </w:r>
          </w:p>
          <w:p w:rsidR="00A20481" w:rsidRDefault="00A20481" w:rsidP="0069221F">
            <w:pPr>
              <w:pStyle w:val="ListParagraph"/>
              <w:numPr>
                <w:ilvl w:val="0"/>
                <w:numId w:val="1"/>
              </w:numPr>
              <w:ind w:left="252" w:hanging="180"/>
              <w:rPr>
                <w:sz w:val="18"/>
                <w:szCs w:val="18"/>
              </w:rPr>
            </w:pPr>
            <w:r>
              <w:rPr>
                <w:sz w:val="18"/>
                <w:szCs w:val="18"/>
              </w:rPr>
              <w:t>Other deliverables as may be specified in the WG Charter</w:t>
            </w:r>
          </w:p>
        </w:tc>
      </w:tr>
      <w:tr w:rsidR="00330D61" w:rsidRPr="0069221F" w:rsidTr="00155BBE">
        <w:trPr>
          <w:cantSplit/>
        </w:trPr>
        <w:tc>
          <w:tcPr>
            <w:tcW w:w="1419" w:type="dxa"/>
          </w:tcPr>
          <w:p w:rsidR="00330D61" w:rsidRPr="0069221F" w:rsidRDefault="00330D61">
            <w:pPr>
              <w:rPr>
                <w:sz w:val="18"/>
                <w:szCs w:val="18"/>
              </w:rPr>
            </w:pPr>
            <w:r w:rsidRPr="0069221F">
              <w:rPr>
                <w:sz w:val="18"/>
                <w:szCs w:val="18"/>
              </w:rPr>
              <w:lastRenderedPageBreak/>
              <w:t>PDP Working Group</w:t>
            </w:r>
          </w:p>
        </w:tc>
        <w:tc>
          <w:tcPr>
            <w:tcW w:w="778" w:type="dxa"/>
          </w:tcPr>
          <w:p w:rsidR="00330D61" w:rsidRPr="0069221F" w:rsidRDefault="00330D61">
            <w:pPr>
              <w:rPr>
                <w:sz w:val="18"/>
                <w:szCs w:val="18"/>
              </w:rPr>
            </w:pPr>
            <w:r w:rsidRPr="0069221F">
              <w:rPr>
                <w:sz w:val="18"/>
                <w:szCs w:val="18"/>
              </w:rPr>
              <w:t>PDP</w:t>
            </w:r>
          </w:p>
        </w:tc>
        <w:tc>
          <w:tcPr>
            <w:tcW w:w="2902" w:type="dxa"/>
          </w:tcPr>
          <w:p w:rsidR="00330D61" w:rsidRPr="0069221F" w:rsidRDefault="00330D61" w:rsidP="0069221F">
            <w:pPr>
              <w:pStyle w:val="ListParagraph"/>
              <w:numPr>
                <w:ilvl w:val="0"/>
                <w:numId w:val="1"/>
              </w:numPr>
              <w:ind w:left="252" w:hanging="180"/>
              <w:rPr>
                <w:sz w:val="18"/>
                <w:szCs w:val="18"/>
              </w:rPr>
            </w:pPr>
            <w:r w:rsidRPr="0069221F">
              <w:rPr>
                <w:sz w:val="18"/>
                <w:szCs w:val="18"/>
              </w:rPr>
              <w:t xml:space="preserve">A Working Group formally chartered by the GNSO Council to develop </w:t>
            </w:r>
            <w:proofErr w:type="spellStart"/>
            <w:r w:rsidRPr="0069221F">
              <w:rPr>
                <w:sz w:val="18"/>
                <w:szCs w:val="18"/>
              </w:rPr>
              <w:t>gTLD</w:t>
            </w:r>
            <w:proofErr w:type="spellEnd"/>
            <w:r w:rsidRPr="0069221F">
              <w:rPr>
                <w:sz w:val="18"/>
                <w:szCs w:val="18"/>
              </w:rPr>
              <w:t xml:space="preserve"> policy recommendations in accordance with the process outlined in Annex A of the ICANN Bylaws. </w:t>
            </w:r>
          </w:p>
          <w:p w:rsidR="00330D61" w:rsidRPr="0069221F" w:rsidRDefault="00330D61" w:rsidP="0069221F">
            <w:pPr>
              <w:pStyle w:val="ListParagraph"/>
              <w:numPr>
                <w:ilvl w:val="0"/>
                <w:numId w:val="1"/>
              </w:numPr>
              <w:ind w:left="252" w:hanging="180"/>
              <w:rPr>
                <w:sz w:val="18"/>
                <w:szCs w:val="18"/>
              </w:rPr>
            </w:pPr>
            <w:r>
              <w:rPr>
                <w:sz w:val="18"/>
                <w:szCs w:val="18"/>
              </w:rPr>
              <w:t>GNSO Council a</w:t>
            </w:r>
            <w:r w:rsidRPr="0069221F">
              <w:rPr>
                <w:sz w:val="18"/>
                <w:szCs w:val="18"/>
              </w:rPr>
              <w:t>doption of the recommendations developed by a PDP Working Group is determined by voting thresholds set forth in the ICANN Bylaws.</w:t>
            </w:r>
          </w:p>
          <w:p w:rsidR="00330D61" w:rsidRPr="0069221F" w:rsidRDefault="00330D61" w:rsidP="0069221F">
            <w:pPr>
              <w:pStyle w:val="ListParagraph"/>
              <w:numPr>
                <w:ilvl w:val="0"/>
                <w:numId w:val="1"/>
              </w:numPr>
              <w:ind w:left="252" w:hanging="180"/>
              <w:rPr>
                <w:sz w:val="18"/>
                <w:szCs w:val="18"/>
              </w:rPr>
            </w:pPr>
            <w:r w:rsidRPr="0069221F">
              <w:rPr>
                <w:sz w:val="18"/>
                <w:szCs w:val="18"/>
              </w:rPr>
              <w:t xml:space="preserve">Consensus Policies that create or modify contractual obligations affecting ICANN Contracted Parties may </w:t>
            </w:r>
            <w:r>
              <w:rPr>
                <w:sz w:val="18"/>
                <w:szCs w:val="18"/>
              </w:rPr>
              <w:t xml:space="preserve">only </w:t>
            </w:r>
            <w:r w:rsidRPr="0069221F">
              <w:rPr>
                <w:sz w:val="18"/>
                <w:szCs w:val="18"/>
              </w:rPr>
              <w:t>be developed by a PDP Working Group.</w:t>
            </w:r>
          </w:p>
          <w:p w:rsidR="00330D61" w:rsidRDefault="00330D61" w:rsidP="0069221F">
            <w:pPr>
              <w:pStyle w:val="ListParagraph"/>
              <w:numPr>
                <w:ilvl w:val="0"/>
                <w:numId w:val="1"/>
              </w:numPr>
              <w:ind w:left="252" w:hanging="180"/>
              <w:rPr>
                <w:sz w:val="18"/>
                <w:szCs w:val="18"/>
              </w:rPr>
            </w:pPr>
            <w:r w:rsidRPr="0069221F">
              <w:rPr>
                <w:sz w:val="18"/>
                <w:szCs w:val="18"/>
              </w:rPr>
              <w:t>Deliberations, processes and outcomes of a PDP Working Group are governed by the GNSO’s Working Group Guidelines and the PDP Manual</w:t>
            </w:r>
            <w:r w:rsidR="00A20481">
              <w:rPr>
                <w:sz w:val="18"/>
                <w:szCs w:val="18"/>
              </w:rPr>
              <w:t>,</w:t>
            </w:r>
            <w:r>
              <w:rPr>
                <w:sz w:val="18"/>
                <w:szCs w:val="18"/>
              </w:rPr>
              <w:t xml:space="preserve"> which are both part of the GNSO Operating Procedures</w:t>
            </w:r>
            <w:r w:rsidRPr="0069221F">
              <w:rPr>
                <w:sz w:val="18"/>
                <w:szCs w:val="18"/>
              </w:rPr>
              <w:t>.</w:t>
            </w:r>
          </w:p>
          <w:p w:rsidR="00330D61" w:rsidRPr="0069221F" w:rsidRDefault="00330D61" w:rsidP="0069221F">
            <w:pPr>
              <w:pStyle w:val="ListParagraph"/>
              <w:ind w:left="252"/>
              <w:rPr>
                <w:sz w:val="18"/>
                <w:szCs w:val="18"/>
              </w:rPr>
            </w:pPr>
          </w:p>
        </w:tc>
        <w:tc>
          <w:tcPr>
            <w:tcW w:w="2559" w:type="dxa"/>
          </w:tcPr>
          <w:p w:rsidR="00330D61" w:rsidRPr="0069221F" w:rsidRDefault="00330D61" w:rsidP="0069221F">
            <w:pPr>
              <w:pStyle w:val="ListParagraph"/>
              <w:numPr>
                <w:ilvl w:val="0"/>
                <w:numId w:val="1"/>
              </w:numPr>
              <w:ind w:left="252" w:hanging="180"/>
              <w:rPr>
                <w:sz w:val="18"/>
                <w:szCs w:val="18"/>
              </w:rPr>
            </w:pPr>
            <w:r>
              <w:rPr>
                <w:sz w:val="18"/>
                <w:szCs w:val="18"/>
              </w:rPr>
              <w:t>Unless expressly noted in the ICANN Bylaws, GNSO Operating Procedures or PDP Manual, the same definitional scope will also apply to an Expedited PDP Working Group</w:t>
            </w:r>
          </w:p>
        </w:tc>
        <w:tc>
          <w:tcPr>
            <w:tcW w:w="1918" w:type="dxa"/>
          </w:tcPr>
          <w:p w:rsidR="00A20481" w:rsidRDefault="00A20481" w:rsidP="0069221F">
            <w:pPr>
              <w:pStyle w:val="ListParagraph"/>
              <w:numPr>
                <w:ilvl w:val="0"/>
                <w:numId w:val="1"/>
              </w:numPr>
              <w:ind w:left="252" w:hanging="180"/>
              <w:rPr>
                <w:sz w:val="18"/>
                <w:szCs w:val="18"/>
              </w:rPr>
            </w:pPr>
            <w:r>
              <w:rPr>
                <w:sz w:val="18"/>
                <w:szCs w:val="18"/>
              </w:rPr>
              <w:t>(Staff) Preliminary Issue Report</w:t>
            </w:r>
          </w:p>
          <w:p w:rsidR="00A20481" w:rsidRDefault="00A20481" w:rsidP="0069221F">
            <w:pPr>
              <w:pStyle w:val="ListParagraph"/>
              <w:numPr>
                <w:ilvl w:val="0"/>
                <w:numId w:val="1"/>
              </w:numPr>
              <w:ind w:left="252" w:hanging="180"/>
              <w:rPr>
                <w:sz w:val="18"/>
                <w:szCs w:val="18"/>
              </w:rPr>
            </w:pPr>
            <w:r>
              <w:rPr>
                <w:sz w:val="18"/>
                <w:szCs w:val="18"/>
              </w:rPr>
              <w:t>(Staff) Final Issue Report</w:t>
            </w:r>
          </w:p>
          <w:p w:rsidR="00330D61" w:rsidRDefault="00A20481" w:rsidP="0069221F">
            <w:pPr>
              <w:pStyle w:val="ListParagraph"/>
              <w:numPr>
                <w:ilvl w:val="0"/>
                <w:numId w:val="1"/>
              </w:numPr>
              <w:ind w:left="252" w:hanging="180"/>
              <w:rPr>
                <w:sz w:val="18"/>
                <w:szCs w:val="18"/>
              </w:rPr>
            </w:pPr>
            <w:r>
              <w:rPr>
                <w:sz w:val="18"/>
                <w:szCs w:val="18"/>
              </w:rPr>
              <w:t>(WG) Initial Report</w:t>
            </w:r>
          </w:p>
          <w:p w:rsidR="00A20481" w:rsidRDefault="00A20481" w:rsidP="00A20481">
            <w:pPr>
              <w:pStyle w:val="ListParagraph"/>
              <w:numPr>
                <w:ilvl w:val="0"/>
                <w:numId w:val="1"/>
              </w:numPr>
              <w:ind w:left="252" w:hanging="180"/>
              <w:rPr>
                <w:sz w:val="18"/>
                <w:szCs w:val="18"/>
              </w:rPr>
            </w:pPr>
            <w:r>
              <w:rPr>
                <w:sz w:val="18"/>
                <w:szCs w:val="18"/>
              </w:rPr>
              <w:t>(WG) Final Report</w:t>
            </w:r>
          </w:p>
          <w:p w:rsidR="00A20481" w:rsidRPr="00155BBE" w:rsidRDefault="00A20481" w:rsidP="00A20481">
            <w:pPr>
              <w:pStyle w:val="ListParagraph"/>
              <w:numPr>
                <w:ilvl w:val="0"/>
                <w:numId w:val="1"/>
              </w:numPr>
              <w:ind w:left="252" w:hanging="180"/>
              <w:rPr>
                <w:sz w:val="18"/>
                <w:szCs w:val="18"/>
              </w:rPr>
            </w:pPr>
            <w:r>
              <w:rPr>
                <w:sz w:val="18"/>
                <w:szCs w:val="18"/>
              </w:rPr>
              <w:t>(Council/Staff) Recommendations Report to ICANN Board</w:t>
            </w:r>
          </w:p>
        </w:tc>
      </w:tr>
      <w:tr w:rsidR="00330D61" w:rsidRPr="0069221F" w:rsidTr="00155BBE">
        <w:trPr>
          <w:cantSplit/>
        </w:trPr>
        <w:tc>
          <w:tcPr>
            <w:tcW w:w="1419" w:type="dxa"/>
          </w:tcPr>
          <w:p w:rsidR="00330D61" w:rsidRPr="0069221F" w:rsidRDefault="00330D61">
            <w:pPr>
              <w:rPr>
                <w:sz w:val="18"/>
                <w:szCs w:val="18"/>
              </w:rPr>
            </w:pPr>
            <w:r w:rsidRPr="0069221F">
              <w:rPr>
                <w:sz w:val="18"/>
                <w:szCs w:val="18"/>
              </w:rPr>
              <w:t>Non PDP Working Group</w:t>
            </w:r>
          </w:p>
        </w:tc>
        <w:tc>
          <w:tcPr>
            <w:tcW w:w="778" w:type="dxa"/>
          </w:tcPr>
          <w:p w:rsidR="00330D61" w:rsidRPr="0069221F" w:rsidRDefault="00330D61">
            <w:pPr>
              <w:rPr>
                <w:sz w:val="18"/>
                <w:szCs w:val="18"/>
              </w:rPr>
            </w:pPr>
            <w:proofErr w:type="spellStart"/>
            <w:r w:rsidRPr="0069221F">
              <w:rPr>
                <w:sz w:val="18"/>
                <w:szCs w:val="18"/>
              </w:rPr>
              <w:t>nPDP</w:t>
            </w:r>
            <w:proofErr w:type="spellEnd"/>
          </w:p>
        </w:tc>
        <w:tc>
          <w:tcPr>
            <w:tcW w:w="2902" w:type="dxa"/>
          </w:tcPr>
          <w:p w:rsidR="00330D61" w:rsidRPr="0069221F" w:rsidRDefault="00330D61" w:rsidP="0069221F">
            <w:pPr>
              <w:pStyle w:val="ListParagraph"/>
              <w:numPr>
                <w:ilvl w:val="0"/>
                <w:numId w:val="1"/>
              </w:numPr>
              <w:ind w:left="259" w:hanging="187"/>
              <w:rPr>
                <w:sz w:val="18"/>
                <w:szCs w:val="18"/>
              </w:rPr>
            </w:pPr>
            <w:r w:rsidRPr="0069221F">
              <w:rPr>
                <w:sz w:val="18"/>
                <w:szCs w:val="18"/>
              </w:rPr>
              <w:t xml:space="preserve">A Working Group formally chartered by the GNSO Council to develop recommendations on GNSO-related issues that are not otherwise appropriately covered by a PDP, the scope of which is delineated by its charter as approved by the GNSO Council. </w:t>
            </w:r>
          </w:p>
          <w:p w:rsidR="00330D61" w:rsidRDefault="00330D61" w:rsidP="0069221F">
            <w:pPr>
              <w:pStyle w:val="ListParagraph"/>
              <w:numPr>
                <w:ilvl w:val="0"/>
                <w:numId w:val="1"/>
              </w:numPr>
              <w:ind w:left="259" w:hanging="187"/>
              <w:rPr>
                <w:sz w:val="18"/>
                <w:szCs w:val="18"/>
              </w:rPr>
            </w:pPr>
            <w:r w:rsidRPr="0069221F">
              <w:rPr>
                <w:sz w:val="18"/>
                <w:szCs w:val="18"/>
              </w:rPr>
              <w:t xml:space="preserve">Non-PDP Working Groups may not develop Consensus Policy recommendations. </w:t>
            </w:r>
          </w:p>
          <w:p w:rsidR="00330D61" w:rsidRDefault="00330D61" w:rsidP="0069221F">
            <w:pPr>
              <w:pStyle w:val="ListParagraph"/>
              <w:numPr>
                <w:ilvl w:val="0"/>
                <w:numId w:val="1"/>
              </w:numPr>
              <w:ind w:left="259" w:hanging="187"/>
              <w:rPr>
                <w:sz w:val="18"/>
                <w:szCs w:val="18"/>
              </w:rPr>
            </w:pPr>
            <w:r w:rsidRPr="0069221F">
              <w:rPr>
                <w:sz w:val="18"/>
                <w:szCs w:val="18"/>
              </w:rPr>
              <w:t xml:space="preserve">Deliberations, processes and outcomes of a Non-PDP Working Group are governed by the GNSO’s Working Group Guidelines, although a Non-PDP Working Group </w:t>
            </w:r>
            <w:r>
              <w:rPr>
                <w:sz w:val="18"/>
                <w:szCs w:val="18"/>
              </w:rPr>
              <w:t>may</w:t>
            </w:r>
            <w:r w:rsidRPr="0069221F">
              <w:rPr>
                <w:sz w:val="18"/>
                <w:szCs w:val="18"/>
              </w:rPr>
              <w:t xml:space="preserve"> also follow procedures from the PDP Manual</w:t>
            </w:r>
            <w:r>
              <w:rPr>
                <w:sz w:val="18"/>
                <w:szCs w:val="18"/>
              </w:rPr>
              <w:t xml:space="preserve"> if it is deemed desirable or required by its charter</w:t>
            </w:r>
            <w:r w:rsidRPr="0069221F">
              <w:rPr>
                <w:sz w:val="18"/>
                <w:szCs w:val="18"/>
              </w:rPr>
              <w:t>.</w:t>
            </w:r>
          </w:p>
          <w:p w:rsidR="00330D61" w:rsidRPr="0069221F" w:rsidRDefault="00330D61" w:rsidP="0069221F">
            <w:pPr>
              <w:pStyle w:val="ListParagraph"/>
              <w:ind w:left="259"/>
              <w:rPr>
                <w:sz w:val="18"/>
                <w:szCs w:val="18"/>
              </w:rPr>
            </w:pPr>
          </w:p>
        </w:tc>
        <w:tc>
          <w:tcPr>
            <w:tcW w:w="2559" w:type="dxa"/>
          </w:tcPr>
          <w:p w:rsidR="00330D61" w:rsidRPr="0069221F" w:rsidRDefault="00330D61" w:rsidP="0069221F">
            <w:pPr>
              <w:pStyle w:val="ListParagraph"/>
              <w:numPr>
                <w:ilvl w:val="0"/>
                <w:numId w:val="1"/>
              </w:numPr>
              <w:ind w:left="259" w:hanging="187"/>
              <w:rPr>
                <w:sz w:val="18"/>
                <w:szCs w:val="18"/>
              </w:rPr>
            </w:pPr>
            <w:r>
              <w:rPr>
                <w:sz w:val="18"/>
                <w:szCs w:val="18"/>
              </w:rPr>
              <w:t>Where appropriate, this type of group can be used for the proposed new GNSO non-PDP-related processes e.g. for a GNSO Guidance Process or a GNSO Input Process.</w:t>
            </w:r>
          </w:p>
        </w:tc>
        <w:tc>
          <w:tcPr>
            <w:tcW w:w="1918" w:type="dxa"/>
          </w:tcPr>
          <w:p w:rsidR="00330D61" w:rsidRDefault="00A20481" w:rsidP="0069221F">
            <w:pPr>
              <w:pStyle w:val="ListParagraph"/>
              <w:numPr>
                <w:ilvl w:val="0"/>
                <w:numId w:val="1"/>
              </w:numPr>
              <w:ind w:left="259" w:hanging="187"/>
              <w:rPr>
                <w:sz w:val="18"/>
                <w:szCs w:val="18"/>
              </w:rPr>
            </w:pPr>
            <w:r>
              <w:rPr>
                <w:sz w:val="18"/>
                <w:szCs w:val="18"/>
              </w:rPr>
              <w:t>Customarily follows the steps and output of a PDP WG (see above)</w:t>
            </w:r>
          </w:p>
        </w:tc>
      </w:tr>
      <w:tr w:rsidR="00330D61" w:rsidRPr="0069221F" w:rsidTr="00155BBE">
        <w:trPr>
          <w:cantSplit/>
        </w:trPr>
        <w:tc>
          <w:tcPr>
            <w:tcW w:w="1419" w:type="dxa"/>
          </w:tcPr>
          <w:p w:rsidR="00330D61" w:rsidRPr="0069221F" w:rsidRDefault="00330D61">
            <w:pPr>
              <w:rPr>
                <w:sz w:val="18"/>
                <w:szCs w:val="18"/>
              </w:rPr>
            </w:pPr>
            <w:r w:rsidRPr="0069221F">
              <w:rPr>
                <w:sz w:val="18"/>
                <w:szCs w:val="18"/>
              </w:rPr>
              <w:lastRenderedPageBreak/>
              <w:t>Consultation Group</w:t>
            </w:r>
          </w:p>
        </w:tc>
        <w:tc>
          <w:tcPr>
            <w:tcW w:w="778" w:type="dxa"/>
          </w:tcPr>
          <w:p w:rsidR="00330D61" w:rsidRPr="0069221F" w:rsidRDefault="00330D61">
            <w:pPr>
              <w:rPr>
                <w:sz w:val="18"/>
                <w:szCs w:val="18"/>
              </w:rPr>
            </w:pPr>
            <w:r w:rsidRPr="0069221F">
              <w:rPr>
                <w:sz w:val="18"/>
                <w:szCs w:val="18"/>
              </w:rPr>
              <w:t>CG</w:t>
            </w:r>
          </w:p>
        </w:tc>
        <w:tc>
          <w:tcPr>
            <w:tcW w:w="2902" w:type="dxa"/>
          </w:tcPr>
          <w:p w:rsidR="00330D61" w:rsidRPr="0069221F" w:rsidRDefault="00330D61" w:rsidP="0069221F">
            <w:pPr>
              <w:pStyle w:val="ListParagraph"/>
              <w:numPr>
                <w:ilvl w:val="0"/>
                <w:numId w:val="1"/>
              </w:numPr>
              <w:ind w:left="252" w:hanging="180"/>
              <w:rPr>
                <w:sz w:val="18"/>
                <w:szCs w:val="18"/>
              </w:rPr>
            </w:pPr>
            <w:r w:rsidRPr="0069221F">
              <w:rPr>
                <w:sz w:val="18"/>
                <w:szCs w:val="18"/>
              </w:rPr>
              <w:t xml:space="preserve">A group of community volunteers </w:t>
            </w:r>
            <w:r>
              <w:rPr>
                <w:sz w:val="18"/>
                <w:szCs w:val="18"/>
              </w:rPr>
              <w:t xml:space="preserve">tasked </w:t>
            </w:r>
            <w:r w:rsidRPr="0069221F">
              <w:rPr>
                <w:sz w:val="18"/>
                <w:szCs w:val="18"/>
              </w:rPr>
              <w:t>to develop or review specific proposals or recommendations</w:t>
            </w:r>
            <w:r>
              <w:rPr>
                <w:sz w:val="18"/>
                <w:szCs w:val="18"/>
              </w:rPr>
              <w:t xml:space="preserve"> not otherwise covered by existing GNSO processes and that would usually be considered preliminary in nature (e.g. identifying issues for collaboration with another SO/AC, or to guide further GNSO discussions on potential policy topics)</w:t>
            </w:r>
            <w:r w:rsidRPr="0069221F">
              <w:rPr>
                <w:sz w:val="18"/>
                <w:szCs w:val="18"/>
              </w:rPr>
              <w:t>.</w:t>
            </w:r>
          </w:p>
          <w:p w:rsidR="00330D61" w:rsidRPr="0069221F" w:rsidRDefault="00330D61" w:rsidP="0069221F">
            <w:pPr>
              <w:pStyle w:val="ListParagraph"/>
              <w:numPr>
                <w:ilvl w:val="0"/>
                <w:numId w:val="1"/>
              </w:numPr>
              <w:ind w:left="252" w:hanging="180"/>
              <w:rPr>
                <w:sz w:val="18"/>
                <w:szCs w:val="18"/>
              </w:rPr>
            </w:pPr>
            <w:r>
              <w:rPr>
                <w:sz w:val="18"/>
                <w:szCs w:val="18"/>
              </w:rPr>
              <w:t xml:space="preserve">A Consultation Group can be created by the GNSO Council, or </w:t>
            </w:r>
            <w:r w:rsidRPr="0069221F">
              <w:rPr>
                <w:sz w:val="18"/>
                <w:szCs w:val="18"/>
              </w:rPr>
              <w:t xml:space="preserve">jointly created by the GNSO Council and one or more other ICANN groups (e.g. another SO or an AC). </w:t>
            </w:r>
          </w:p>
          <w:p w:rsidR="00330D61" w:rsidRPr="0069221F" w:rsidRDefault="00330D61">
            <w:pPr>
              <w:rPr>
                <w:sz w:val="18"/>
                <w:szCs w:val="18"/>
              </w:rPr>
            </w:pPr>
          </w:p>
        </w:tc>
        <w:tc>
          <w:tcPr>
            <w:tcW w:w="2559" w:type="dxa"/>
          </w:tcPr>
          <w:p w:rsidR="00330D61" w:rsidRPr="0069221F" w:rsidRDefault="00330D61" w:rsidP="00A50671">
            <w:pPr>
              <w:pStyle w:val="ListParagraph"/>
              <w:numPr>
                <w:ilvl w:val="0"/>
                <w:numId w:val="1"/>
              </w:numPr>
              <w:ind w:left="252" w:hanging="180"/>
              <w:rPr>
                <w:sz w:val="18"/>
                <w:szCs w:val="18"/>
              </w:rPr>
            </w:pPr>
            <w:r>
              <w:rPr>
                <w:sz w:val="18"/>
                <w:szCs w:val="18"/>
              </w:rPr>
              <w:t>A formal Charter is desirable to form a Consultation Group</w:t>
            </w:r>
          </w:p>
        </w:tc>
        <w:tc>
          <w:tcPr>
            <w:tcW w:w="1918" w:type="dxa"/>
          </w:tcPr>
          <w:p w:rsidR="00330D61" w:rsidRDefault="00A20481" w:rsidP="00A20481">
            <w:pPr>
              <w:pStyle w:val="ListParagraph"/>
              <w:numPr>
                <w:ilvl w:val="0"/>
                <w:numId w:val="1"/>
              </w:numPr>
              <w:ind w:left="252" w:hanging="180"/>
              <w:rPr>
                <w:sz w:val="18"/>
                <w:szCs w:val="18"/>
              </w:rPr>
            </w:pPr>
            <w:r>
              <w:rPr>
                <w:sz w:val="18"/>
                <w:szCs w:val="18"/>
              </w:rPr>
              <w:t>Depends on scope of the task e.g. report to the GNSO Council and (if applicable) its other chartering organization(s); this should be specified when the group is convened</w:t>
            </w:r>
          </w:p>
        </w:tc>
      </w:tr>
      <w:tr w:rsidR="00330D61" w:rsidRPr="0069221F" w:rsidTr="00155BBE">
        <w:trPr>
          <w:cantSplit/>
        </w:trPr>
        <w:tc>
          <w:tcPr>
            <w:tcW w:w="1419" w:type="dxa"/>
          </w:tcPr>
          <w:p w:rsidR="00330D61" w:rsidRPr="0069221F" w:rsidRDefault="00330D61">
            <w:pPr>
              <w:rPr>
                <w:sz w:val="18"/>
                <w:szCs w:val="18"/>
              </w:rPr>
            </w:pPr>
            <w:r w:rsidRPr="0069221F">
              <w:rPr>
                <w:sz w:val="18"/>
                <w:szCs w:val="18"/>
              </w:rPr>
              <w:t>Discussion Group</w:t>
            </w:r>
          </w:p>
        </w:tc>
        <w:tc>
          <w:tcPr>
            <w:tcW w:w="778" w:type="dxa"/>
          </w:tcPr>
          <w:p w:rsidR="00330D61" w:rsidRPr="0069221F" w:rsidRDefault="00330D61">
            <w:pPr>
              <w:rPr>
                <w:sz w:val="18"/>
                <w:szCs w:val="18"/>
              </w:rPr>
            </w:pPr>
            <w:r w:rsidRPr="0069221F">
              <w:rPr>
                <w:sz w:val="18"/>
                <w:szCs w:val="18"/>
              </w:rPr>
              <w:t>DG</w:t>
            </w:r>
          </w:p>
        </w:tc>
        <w:tc>
          <w:tcPr>
            <w:tcW w:w="2902" w:type="dxa"/>
          </w:tcPr>
          <w:p w:rsidR="00330D61" w:rsidRDefault="00330D61" w:rsidP="0069221F">
            <w:pPr>
              <w:pStyle w:val="ListParagraph"/>
              <w:numPr>
                <w:ilvl w:val="0"/>
                <w:numId w:val="1"/>
              </w:numPr>
              <w:ind w:left="252" w:hanging="180"/>
              <w:rPr>
                <w:sz w:val="18"/>
                <w:szCs w:val="18"/>
              </w:rPr>
            </w:pPr>
            <w:r w:rsidRPr="0069221F">
              <w:rPr>
                <w:sz w:val="18"/>
                <w:szCs w:val="18"/>
              </w:rPr>
              <w:t xml:space="preserve">A group of community volunteers tasked by the GNSO Council to develop or review specific proposals or recommendations concerning substantive policy issues, where the GNSO Council considers the Working Group model inappropriate or inapplicable. </w:t>
            </w:r>
          </w:p>
          <w:p w:rsidR="00330D61" w:rsidRDefault="00330D61" w:rsidP="0069221F">
            <w:pPr>
              <w:pStyle w:val="ListParagraph"/>
              <w:numPr>
                <w:ilvl w:val="0"/>
                <w:numId w:val="1"/>
              </w:numPr>
              <w:ind w:left="252" w:hanging="180"/>
              <w:rPr>
                <w:sz w:val="18"/>
                <w:szCs w:val="18"/>
              </w:rPr>
            </w:pPr>
            <w:r w:rsidRPr="0069221F">
              <w:rPr>
                <w:sz w:val="18"/>
                <w:szCs w:val="18"/>
              </w:rPr>
              <w:t>A Discussion Group may nevertheless adopt or adapt the GNSO’s Working Group Guidelines to govern its deliberations, processes and outcomes, although it is not required to do so.</w:t>
            </w:r>
          </w:p>
          <w:p w:rsidR="00330D61" w:rsidRPr="0069221F" w:rsidRDefault="00330D61" w:rsidP="0069221F">
            <w:pPr>
              <w:pStyle w:val="ListParagraph"/>
              <w:ind w:left="252"/>
              <w:rPr>
                <w:sz w:val="18"/>
                <w:szCs w:val="18"/>
              </w:rPr>
            </w:pPr>
          </w:p>
        </w:tc>
        <w:tc>
          <w:tcPr>
            <w:tcW w:w="2559" w:type="dxa"/>
          </w:tcPr>
          <w:p w:rsidR="00330D61" w:rsidRPr="0069221F" w:rsidRDefault="00330D61" w:rsidP="00E259E5">
            <w:pPr>
              <w:pStyle w:val="ListParagraph"/>
              <w:numPr>
                <w:ilvl w:val="0"/>
                <w:numId w:val="1"/>
              </w:numPr>
              <w:ind w:left="252" w:hanging="180"/>
              <w:rPr>
                <w:sz w:val="18"/>
                <w:szCs w:val="18"/>
              </w:rPr>
            </w:pPr>
            <w:r>
              <w:rPr>
                <w:sz w:val="18"/>
                <w:szCs w:val="18"/>
              </w:rPr>
              <w:t>A formal Charter is not required to form a Discussion Group</w:t>
            </w:r>
          </w:p>
        </w:tc>
        <w:tc>
          <w:tcPr>
            <w:tcW w:w="1918" w:type="dxa"/>
          </w:tcPr>
          <w:p w:rsidR="00330D61" w:rsidRDefault="00A20481" w:rsidP="00A20481">
            <w:pPr>
              <w:pStyle w:val="ListParagraph"/>
              <w:numPr>
                <w:ilvl w:val="0"/>
                <w:numId w:val="1"/>
              </w:numPr>
              <w:ind w:left="252" w:hanging="180"/>
              <w:rPr>
                <w:sz w:val="18"/>
                <w:szCs w:val="18"/>
              </w:rPr>
            </w:pPr>
            <w:r>
              <w:rPr>
                <w:sz w:val="18"/>
                <w:szCs w:val="18"/>
              </w:rPr>
              <w:t>Depends on scope of the task e.g. report for community or Council review; this should be specified when the group is convened</w:t>
            </w:r>
          </w:p>
        </w:tc>
      </w:tr>
      <w:tr w:rsidR="00330D61" w:rsidRPr="0069221F" w:rsidTr="00155BBE">
        <w:trPr>
          <w:cantSplit/>
        </w:trPr>
        <w:tc>
          <w:tcPr>
            <w:tcW w:w="1419" w:type="dxa"/>
          </w:tcPr>
          <w:p w:rsidR="00330D61" w:rsidRPr="0069221F" w:rsidRDefault="00330D61">
            <w:pPr>
              <w:rPr>
                <w:sz w:val="18"/>
                <w:szCs w:val="18"/>
              </w:rPr>
            </w:pPr>
            <w:r w:rsidRPr="0069221F">
              <w:rPr>
                <w:sz w:val="18"/>
                <w:szCs w:val="18"/>
              </w:rPr>
              <w:t>Working Party</w:t>
            </w:r>
          </w:p>
        </w:tc>
        <w:tc>
          <w:tcPr>
            <w:tcW w:w="778" w:type="dxa"/>
          </w:tcPr>
          <w:p w:rsidR="00330D61" w:rsidRPr="0069221F" w:rsidRDefault="00330D61">
            <w:pPr>
              <w:rPr>
                <w:sz w:val="18"/>
                <w:szCs w:val="18"/>
              </w:rPr>
            </w:pPr>
            <w:r w:rsidRPr="0069221F">
              <w:rPr>
                <w:sz w:val="18"/>
                <w:szCs w:val="18"/>
              </w:rPr>
              <w:t>WP</w:t>
            </w:r>
          </w:p>
        </w:tc>
        <w:tc>
          <w:tcPr>
            <w:tcW w:w="2902" w:type="dxa"/>
          </w:tcPr>
          <w:p w:rsidR="00330D61" w:rsidRDefault="00330D61" w:rsidP="0069221F">
            <w:pPr>
              <w:pStyle w:val="ListParagraph"/>
              <w:numPr>
                <w:ilvl w:val="0"/>
                <w:numId w:val="1"/>
              </w:numPr>
              <w:ind w:left="252" w:hanging="180"/>
              <w:rPr>
                <w:sz w:val="18"/>
                <w:szCs w:val="18"/>
              </w:rPr>
            </w:pPr>
            <w:r w:rsidRPr="0069221F">
              <w:rPr>
                <w:sz w:val="18"/>
                <w:szCs w:val="18"/>
              </w:rPr>
              <w:t>A group of community volunteers tasked by the GNSO Council to develop or review specific proposals or recommendations concerning procedural, structural, administrative or other matters not involving substantive policy</w:t>
            </w:r>
            <w:r>
              <w:rPr>
                <w:sz w:val="18"/>
                <w:szCs w:val="18"/>
              </w:rPr>
              <w:t xml:space="preserve"> (for which a Discussion Group should be used) and for which no other current GNSO group structure is appropriate</w:t>
            </w:r>
            <w:r w:rsidRPr="0069221F">
              <w:rPr>
                <w:sz w:val="18"/>
                <w:szCs w:val="18"/>
              </w:rPr>
              <w:t xml:space="preserve">. </w:t>
            </w:r>
          </w:p>
          <w:p w:rsidR="00330D61" w:rsidRDefault="00330D61" w:rsidP="0069221F">
            <w:pPr>
              <w:pStyle w:val="ListParagraph"/>
              <w:numPr>
                <w:ilvl w:val="0"/>
                <w:numId w:val="1"/>
              </w:numPr>
              <w:ind w:left="252" w:hanging="180"/>
              <w:rPr>
                <w:sz w:val="18"/>
                <w:szCs w:val="18"/>
              </w:rPr>
            </w:pPr>
            <w:r w:rsidRPr="0069221F">
              <w:rPr>
                <w:sz w:val="18"/>
                <w:szCs w:val="18"/>
              </w:rPr>
              <w:t>A Working Party will generally be used</w:t>
            </w:r>
            <w:r>
              <w:rPr>
                <w:sz w:val="18"/>
                <w:szCs w:val="18"/>
              </w:rPr>
              <w:t xml:space="preserve"> sparingly, and only</w:t>
            </w:r>
            <w:r w:rsidRPr="0069221F">
              <w:rPr>
                <w:sz w:val="18"/>
                <w:szCs w:val="18"/>
              </w:rPr>
              <w:t xml:space="preserve"> when the expected output is not a proposal or recommendation requiring GNSO Council action</w:t>
            </w:r>
          </w:p>
          <w:p w:rsidR="00330D61" w:rsidRPr="0069221F" w:rsidRDefault="00330D61" w:rsidP="0069221F">
            <w:pPr>
              <w:pStyle w:val="ListParagraph"/>
              <w:ind w:left="252"/>
              <w:rPr>
                <w:sz w:val="18"/>
                <w:szCs w:val="18"/>
              </w:rPr>
            </w:pPr>
          </w:p>
        </w:tc>
        <w:tc>
          <w:tcPr>
            <w:tcW w:w="2559" w:type="dxa"/>
          </w:tcPr>
          <w:p w:rsidR="00330D61" w:rsidRPr="0069221F" w:rsidRDefault="00330D61" w:rsidP="0069221F">
            <w:pPr>
              <w:pStyle w:val="ListParagraph"/>
              <w:numPr>
                <w:ilvl w:val="0"/>
                <w:numId w:val="1"/>
              </w:numPr>
              <w:ind w:left="252" w:hanging="180"/>
              <w:rPr>
                <w:sz w:val="18"/>
                <w:szCs w:val="18"/>
              </w:rPr>
            </w:pPr>
          </w:p>
        </w:tc>
        <w:tc>
          <w:tcPr>
            <w:tcW w:w="1918" w:type="dxa"/>
          </w:tcPr>
          <w:p w:rsidR="00330D61" w:rsidRPr="0069221F" w:rsidRDefault="00A20481" w:rsidP="0069221F">
            <w:pPr>
              <w:pStyle w:val="ListParagraph"/>
              <w:numPr>
                <w:ilvl w:val="0"/>
                <w:numId w:val="1"/>
              </w:numPr>
              <w:ind w:left="252" w:hanging="180"/>
              <w:rPr>
                <w:sz w:val="18"/>
                <w:szCs w:val="18"/>
              </w:rPr>
            </w:pPr>
            <w:r>
              <w:rPr>
                <w:sz w:val="18"/>
                <w:szCs w:val="18"/>
              </w:rPr>
              <w:t>Depends on the scope of the task; this should be specified when the group is convened</w:t>
            </w:r>
          </w:p>
        </w:tc>
      </w:tr>
      <w:tr w:rsidR="00330D61" w:rsidRPr="0069221F" w:rsidTr="00155BBE">
        <w:trPr>
          <w:cantSplit/>
        </w:trPr>
        <w:tc>
          <w:tcPr>
            <w:tcW w:w="1419" w:type="dxa"/>
          </w:tcPr>
          <w:p w:rsidR="00330D61" w:rsidRPr="0069221F" w:rsidRDefault="00330D61">
            <w:pPr>
              <w:rPr>
                <w:sz w:val="18"/>
                <w:szCs w:val="18"/>
              </w:rPr>
            </w:pPr>
            <w:r w:rsidRPr="0069221F">
              <w:rPr>
                <w:sz w:val="18"/>
                <w:szCs w:val="18"/>
              </w:rPr>
              <w:lastRenderedPageBreak/>
              <w:t>Cross Community Working Group</w:t>
            </w:r>
          </w:p>
        </w:tc>
        <w:tc>
          <w:tcPr>
            <w:tcW w:w="778" w:type="dxa"/>
          </w:tcPr>
          <w:p w:rsidR="00330D61" w:rsidRPr="0069221F" w:rsidRDefault="00330D61">
            <w:pPr>
              <w:rPr>
                <w:sz w:val="18"/>
                <w:szCs w:val="18"/>
              </w:rPr>
            </w:pPr>
            <w:r>
              <w:rPr>
                <w:sz w:val="18"/>
                <w:szCs w:val="18"/>
              </w:rPr>
              <w:t xml:space="preserve">CWG or </w:t>
            </w:r>
            <w:r w:rsidRPr="0069221F">
              <w:rPr>
                <w:sz w:val="18"/>
                <w:szCs w:val="18"/>
              </w:rPr>
              <w:t>CCWG</w:t>
            </w:r>
          </w:p>
        </w:tc>
        <w:tc>
          <w:tcPr>
            <w:tcW w:w="2902" w:type="dxa"/>
          </w:tcPr>
          <w:p w:rsidR="00330D61" w:rsidRPr="0069221F" w:rsidRDefault="00330D61" w:rsidP="005E67FD">
            <w:pPr>
              <w:pStyle w:val="ListParagraph"/>
              <w:numPr>
                <w:ilvl w:val="0"/>
                <w:numId w:val="1"/>
              </w:numPr>
              <w:ind w:left="252" w:hanging="180"/>
              <w:rPr>
                <w:sz w:val="18"/>
                <w:szCs w:val="18"/>
              </w:rPr>
            </w:pPr>
            <w:r w:rsidRPr="0069221F">
              <w:rPr>
                <w:sz w:val="18"/>
                <w:szCs w:val="18"/>
              </w:rPr>
              <w:t xml:space="preserve">A group of community volunteers formally chartered by one or more Chartering Organizations (e.g. the GNSO for a GNSO Working Group, or two or more SO/ACs for a Cross-Community Working Group) to work on specific questions, issues and tasks as detailed in its Charter. </w:t>
            </w:r>
          </w:p>
          <w:p w:rsidR="00330D61" w:rsidRPr="005E67FD" w:rsidRDefault="00330D61" w:rsidP="005E67FD">
            <w:pPr>
              <w:pStyle w:val="ListParagraph"/>
              <w:numPr>
                <w:ilvl w:val="0"/>
                <w:numId w:val="1"/>
              </w:numPr>
              <w:ind w:left="252" w:hanging="180"/>
              <w:rPr>
                <w:sz w:val="18"/>
                <w:szCs w:val="18"/>
              </w:rPr>
            </w:pPr>
            <w:r w:rsidRPr="0069221F">
              <w:rPr>
                <w:sz w:val="18"/>
                <w:szCs w:val="18"/>
              </w:rPr>
              <w:t>Working Groups jointly chartered by the GNSO and other SO/ACs, including Cross-Community Working Groups, may elect to adopt or adapt some or all of the GNSO’s Working Group Guidelines, but are not required to do so.</w:t>
            </w:r>
          </w:p>
          <w:p w:rsidR="00330D61" w:rsidRPr="0069221F" w:rsidRDefault="00330D61">
            <w:pPr>
              <w:rPr>
                <w:sz w:val="18"/>
                <w:szCs w:val="18"/>
              </w:rPr>
            </w:pPr>
          </w:p>
        </w:tc>
        <w:tc>
          <w:tcPr>
            <w:tcW w:w="2559" w:type="dxa"/>
          </w:tcPr>
          <w:p w:rsidR="00330D61" w:rsidRPr="0069221F" w:rsidRDefault="00330D61" w:rsidP="005E67FD">
            <w:pPr>
              <w:pStyle w:val="ListParagraph"/>
              <w:numPr>
                <w:ilvl w:val="0"/>
                <w:numId w:val="1"/>
              </w:numPr>
              <w:ind w:left="252" w:hanging="180"/>
              <w:rPr>
                <w:sz w:val="18"/>
                <w:szCs w:val="18"/>
              </w:rPr>
            </w:pPr>
            <w:r>
              <w:rPr>
                <w:sz w:val="18"/>
                <w:szCs w:val="18"/>
              </w:rPr>
              <w:t xml:space="preserve">Additional details on CWG/CCWG formation and operations are expected to be developed by the ongoing CWG-Principles (jointly chartered by the </w:t>
            </w:r>
            <w:proofErr w:type="spellStart"/>
            <w:r>
              <w:rPr>
                <w:sz w:val="18"/>
                <w:szCs w:val="18"/>
              </w:rPr>
              <w:t>ccNSO</w:t>
            </w:r>
            <w:proofErr w:type="spellEnd"/>
            <w:r>
              <w:rPr>
                <w:sz w:val="18"/>
                <w:szCs w:val="18"/>
              </w:rPr>
              <w:t xml:space="preserve"> and GNSO Councils)</w:t>
            </w:r>
          </w:p>
        </w:tc>
        <w:tc>
          <w:tcPr>
            <w:tcW w:w="1918" w:type="dxa"/>
          </w:tcPr>
          <w:p w:rsidR="00330D61" w:rsidRDefault="00A20481" w:rsidP="005E67FD">
            <w:pPr>
              <w:pStyle w:val="ListParagraph"/>
              <w:numPr>
                <w:ilvl w:val="0"/>
                <w:numId w:val="1"/>
              </w:numPr>
              <w:ind w:left="252" w:hanging="180"/>
              <w:rPr>
                <w:sz w:val="18"/>
                <w:szCs w:val="18"/>
              </w:rPr>
            </w:pPr>
            <w:r>
              <w:rPr>
                <w:sz w:val="18"/>
                <w:szCs w:val="18"/>
              </w:rPr>
              <w:t>TBD (pending recommendations from CWG-Principles)</w:t>
            </w:r>
          </w:p>
        </w:tc>
      </w:tr>
      <w:tr w:rsidR="00330D61" w:rsidRPr="0069221F" w:rsidTr="00155BBE">
        <w:trPr>
          <w:cantSplit/>
        </w:trPr>
        <w:tc>
          <w:tcPr>
            <w:tcW w:w="1419" w:type="dxa"/>
          </w:tcPr>
          <w:p w:rsidR="00330D61" w:rsidRPr="0069221F" w:rsidRDefault="00330D61">
            <w:pPr>
              <w:rPr>
                <w:sz w:val="18"/>
                <w:szCs w:val="18"/>
              </w:rPr>
            </w:pPr>
            <w:r>
              <w:rPr>
                <w:sz w:val="18"/>
                <w:szCs w:val="18"/>
              </w:rPr>
              <w:t>Standing Committee</w:t>
            </w:r>
          </w:p>
        </w:tc>
        <w:tc>
          <w:tcPr>
            <w:tcW w:w="778" w:type="dxa"/>
          </w:tcPr>
          <w:p w:rsidR="00330D61" w:rsidRDefault="00330D61">
            <w:pPr>
              <w:rPr>
                <w:sz w:val="18"/>
                <w:szCs w:val="18"/>
              </w:rPr>
            </w:pPr>
          </w:p>
        </w:tc>
        <w:tc>
          <w:tcPr>
            <w:tcW w:w="2902" w:type="dxa"/>
          </w:tcPr>
          <w:p w:rsidR="00330D61" w:rsidRPr="0069221F" w:rsidRDefault="00330D61" w:rsidP="005E67FD">
            <w:pPr>
              <w:pStyle w:val="ListParagraph"/>
              <w:numPr>
                <w:ilvl w:val="0"/>
                <w:numId w:val="1"/>
              </w:numPr>
              <w:ind w:left="252" w:hanging="180"/>
              <w:rPr>
                <w:sz w:val="18"/>
                <w:szCs w:val="18"/>
              </w:rPr>
            </w:pPr>
            <w:r>
              <w:rPr>
                <w:sz w:val="18"/>
                <w:szCs w:val="18"/>
              </w:rPr>
              <w:t>A group of community volunteers formally chartered by the GNSO Council to monitor and/or review ongoing GNSO work methods and other projects not constituting substantive policy development on an ongoing basis (e.g. implementation of changes to processes and procedures)</w:t>
            </w:r>
          </w:p>
        </w:tc>
        <w:tc>
          <w:tcPr>
            <w:tcW w:w="2559" w:type="dxa"/>
          </w:tcPr>
          <w:p w:rsidR="00330D61" w:rsidRDefault="00B849C5" w:rsidP="005E67FD">
            <w:pPr>
              <w:pStyle w:val="ListParagraph"/>
              <w:numPr>
                <w:ilvl w:val="0"/>
                <w:numId w:val="1"/>
              </w:numPr>
              <w:ind w:left="252" w:hanging="180"/>
              <w:rPr>
                <w:sz w:val="18"/>
                <w:szCs w:val="18"/>
              </w:rPr>
            </w:pPr>
            <w:r>
              <w:rPr>
                <w:sz w:val="18"/>
                <w:szCs w:val="18"/>
              </w:rPr>
              <w:t>A Charter is required to form a Standing Committee; ideally to be reviewed on a periodic basis by the GNSO Council</w:t>
            </w:r>
          </w:p>
        </w:tc>
        <w:tc>
          <w:tcPr>
            <w:tcW w:w="1918" w:type="dxa"/>
          </w:tcPr>
          <w:p w:rsidR="00330D61" w:rsidRDefault="00B849C5" w:rsidP="005E67FD">
            <w:pPr>
              <w:pStyle w:val="ListParagraph"/>
              <w:numPr>
                <w:ilvl w:val="0"/>
                <w:numId w:val="1"/>
              </w:numPr>
              <w:ind w:left="252" w:hanging="180"/>
              <w:rPr>
                <w:sz w:val="18"/>
                <w:szCs w:val="18"/>
              </w:rPr>
            </w:pPr>
            <w:r>
              <w:rPr>
                <w:sz w:val="18"/>
                <w:szCs w:val="18"/>
              </w:rPr>
              <w:t>Periodic reports to the Council and specific recommendations corresponding to the task under review</w:t>
            </w:r>
          </w:p>
        </w:tc>
      </w:tr>
      <w:tr w:rsidR="00330D61" w:rsidRPr="0069221F" w:rsidTr="00155BBE">
        <w:trPr>
          <w:cantSplit/>
        </w:trPr>
        <w:tc>
          <w:tcPr>
            <w:tcW w:w="1419" w:type="dxa"/>
          </w:tcPr>
          <w:p w:rsidR="00330D61" w:rsidRPr="0069221F" w:rsidRDefault="00330D61">
            <w:pPr>
              <w:rPr>
                <w:sz w:val="18"/>
                <w:szCs w:val="18"/>
              </w:rPr>
            </w:pPr>
            <w:r w:rsidRPr="0069221F">
              <w:rPr>
                <w:sz w:val="18"/>
                <w:szCs w:val="18"/>
              </w:rPr>
              <w:t>Implementation Review Team</w:t>
            </w:r>
          </w:p>
        </w:tc>
        <w:tc>
          <w:tcPr>
            <w:tcW w:w="778" w:type="dxa"/>
          </w:tcPr>
          <w:p w:rsidR="00330D61" w:rsidRPr="0069221F" w:rsidRDefault="00330D61">
            <w:pPr>
              <w:rPr>
                <w:sz w:val="18"/>
                <w:szCs w:val="18"/>
              </w:rPr>
            </w:pPr>
            <w:r w:rsidRPr="0069221F">
              <w:rPr>
                <w:sz w:val="18"/>
                <w:szCs w:val="18"/>
              </w:rPr>
              <w:t>IRT</w:t>
            </w:r>
          </w:p>
        </w:tc>
        <w:tc>
          <w:tcPr>
            <w:tcW w:w="2902" w:type="dxa"/>
          </w:tcPr>
          <w:p w:rsidR="00330D61" w:rsidRDefault="00330D61" w:rsidP="005E67FD">
            <w:pPr>
              <w:pStyle w:val="ListParagraph"/>
              <w:numPr>
                <w:ilvl w:val="0"/>
                <w:numId w:val="1"/>
              </w:numPr>
              <w:ind w:left="252" w:hanging="180"/>
              <w:rPr>
                <w:sz w:val="18"/>
                <w:szCs w:val="18"/>
              </w:rPr>
            </w:pPr>
            <w:r w:rsidRPr="005E67FD">
              <w:rPr>
                <w:sz w:val="18"/>
                <w:szCs w:val="18"/>
              </w:rPr>
              <w:t xml:space="preserve">A team </w:t>
            </w:r>
            <w:r>
              <w:rPr>
                <w:sz w:val="18"/>
                <w:szCs w:val="18"/>
              </w:rPr>
              <w:t xml:space="preserve">comprising at least in part of community volunteers </w:t>
            </w:r>
            <w:r w:rsidRPr="005E67FD">
              <w:rPr>
                <w:sz w:val="18"/>
                <w:szCs w:val="18"/>
              </w:rPr>
              <w:t xml:space="preserve">that </w:t>
            </w:r>
            <w:r>
              <w:rPr>
                <w:sz w:val="18"/>
                <w:szCs w:val="18"/>
              </w:rPr>
              <w:t>is</w:t>
            </w:r>
            <w:r w:rsidRPr="005E67FD">
              <w:rPr>
                <w:sz w:val="18"/>
                <w:szCs w:val="18"/>
              </w:rPr>
              <w:t xml:space="preserve"> formed at the </w:t>
            </w:r>
            <w:r>
              <w:rPr>
                <w:sz w:val="18"/>
                <w:szCs w:val="18"/>
              </w:rPr>
              <w:t>direc</w:t>
            </w:r>
            <w:r w:rsidRPr="005E67FD">
              <w:rPr>
                <w:sz w:val="18"/>
                <w:szCs w:val="18"/>
              </w:rPr>
              <w:t xml:space="preserve">tion of the GNSO Council to assist Staff in </w:t>
            </w:r>
            <w:r>
              <w:rPr>
                <w:sz w:val="18"/>
                <w:szCs w:val="18"/>
              </w:rPr>
              <w:t>the implementation of adopted GNSO policy recommendations, to ensure that the implementation conforms to the intent of the policy recommendations.</w:t>
            </w:r>
          </w:p>
          <w:p w:rsidR="00330D61" w:rsidRPr="00A12844" w:rsidRDefault="00330D61" w:rsidP="00A12844">
            <w:pPr>
              <w:ind w:left="72"/>
              <w:rPr>
                <w:sz w:val="18"/>
                <w:szCs w:val="18"/>
              </w:rPr>
            </w:pPr>
          </w:p>
        </w:tc>
        <w:tc>
          <w:tcPr>
            <w:tcW w:w="2559" w:type="dxa"/>
          </w:tcPr>
          <w:p w:rsidR="00330D61" w:rsidRPr="005E67FD" w:rsidRDefault="00BE5D08" w:rsidP="00BE5D08">
            <w:pPr>
              <w:pStyle w:val="ListParagraph"/>
              <w:numPr>
                <w:ilvl w:val="0"/>
                <w:numId w:val="1"/>
              </w:numPr>
              <w:ind w:left="252" w:hanging="180"/>
              <w:rPr>
                <w:sz w:val="18"/>
                <w:szCs w:val="18"/>
              </w:rPr>
            </w:pPr>
            <w:r>
              <w:rPr>
                <w:sz w:val="18"/>
                <w:szCs w:val="18"/>
              </w:rPr>
              <w:t>A number of s</w:t>
            </w:r>
            <w:r w:rsidR="00315366">
              <w:rPr>
                <w:sz w:val="18"/>
                <w:szCs w:val="18"/>
              </w:rPr>
              <w:t>pecific recommendations</w:t>
            </w:r>
            <w:r>
              <w:rPr>
                <w:sz w:val="18"/>
                <w:szCs w:val="18"/>
              </w:rPr>
              <w:t xml:space="preserve"> pertaining to IRTs, their role and operation were developed</w:t>
            </w:r>
            <w:r w:rsidR="00315366">
              <w:rPr>
                <w:sz w:val="18"/>
                <w:szCs w:val="18"/>
              </w:rPr>
              <w:t xml:space="preserve"> </w:t>
            </w:r>
            <w:r>
              <w:rPr>
                <w:sz w:val="18"/>
                <w:szCs w:val="18"/>
              </w:rPr>
              <w:t>by</w:t>
            </w:r>
            <w:r w:rsidR="00315366">
              <w:rPr>
                <w:sz w:val="18"/>
                <w:szCs w:val="18"/>
              </w:rPr>
              <w:t xml:space="preserve"> the </w:t>
            </w:r>
            <w:r w:rsidR="00330D61">
              <w:rPr>
                <w:sz w:val="18"/>
                <w:szCs w:val="18"/>
              </w:rPr>
              <w:t>Policy &amp; Implementation Working Group</w:t>
            </w:r>
          </w:p>
        </w:tc>
        <w:tc>
          <w:tcPr>
            <w:tcW w:w="1918" w:type="dxa"/>
          </w:tcPr>
          <w:p w:rsidR="00330D61" w:rsidRDefault="00BE5D08" w:rsidP="00BE5D08">
            <w:pPr>
              <w:pStyle w:val="ListParagraph"/>
              <w:numPr>
                <w:ilvl w:val="0"/>
                <w:numId w:val="1"/>
              </w:numPr>
              <w:ind w:left="252" w:hanging="180"/>
              <w:rPr>
                <w:sz w:val="18"/>
                <w:szCs w:val="18"/>
              </w:rPr>
            </w:pPr>
            <w:r>
              <w:rPr>
                <w:sz w:val="18"/>
                <w:szCs w:val="18"/>
              </w:rPr>
              <w:t>Specific</w:t>
            </w:r>
            <w:r w:rsidR="00315366">
              <w:rPr>
                <w:sz w:val="18"/>
                <w:szCs w:val="18"/>
              </w:rPr>
              <w:t xml:space="preserve"> recommendations </w:t>
            </w:r>
            <w:r>
              <w:rPr>
                <w:sz w:val="18"/>
                <w:szCs w:val="18"/>
              </w:rPr>
              <w:t>as developed by</w:t>
            </w:r>
            <w:r w:rsidR="00315366">
              <w:rPr>
                <w:sz w:val="18"/>
                <w:szCs w:val="18"/>
              </w:rPr>
              <w:t xml:space="preserve"> the Policy &amp; Implem</w:t>
            </w:r>
            <w:r>
              <w:rPr>
                <w:sz w:val="18"/>
                <w:szCs w:val="18"/>
              </w:rPr>
              <w:t>entation Working Group,</w:t>
            </w:r>
            <w:r w:rsidR="00315366">
              <w:rPr>
                <w:sz w:val="18"/>
                <w:szCs w:val="18"/>
              </w:rPr>
              <w:t xml:space="preserve"> adopted by the GNSO Council in June 2015</w:t>
            </w:r>
            <w:r>
              <w:rPr>
                <w:rStyle w:val="FootnoteReference"/>
                <w:sz w:val="18"/>
                <w:szCs w:val="18"/>
              </w:rPr>
              <w:footnoteReference w:id="1"/>
            </w:r>
          </w:p>
        </w:tc>
      </w:tr>
    </w:tbl>
    <w:p w:rsidR="00315366" w:rsidRDefault="00315366" w:rsidP="00412096">
      <w:pPr>
        <w:rPr>
          <w:sz w:val="18"/>
          <w:szCs w:val="18"/>
        </w:rPr>
      </w:pPr>
    </w:p>
    <w:p w:rsidR="00315366" w:rsidRDefault="00315366" w:rsidP="00412096">
      <w:pPr>
        <w:rPr>
          <w:b/>
          <w:sz w:val="18"/>
          <w:szCs w:val="18"/>
        </w:rPr>
        <w:sectPr w:rsidR="00315366" w:rsidSect="00330D61">
          <w:footerReference w:type="even" r:id="rId9"/>
          <w:footerReference w:type="default" r:id="rId10"/>
          <w:pgSz w:w="12240" w:h="15840"/>
          <w:pgMar w:top="1440" w:right="1440" w:bottom="1440" w:left="1440" w:header="720" w:footer="720" w:gutter="0"/>
          <w:cols w:space="720"/>
          <w:docGrid w:linePitch="360"/>
        </w:sectPr>
      </w:pPr>
      <w:bookmarkStart w:id="0" w:name="_GoBack"/>
      <w:bookmarkEnd w:id="0"/>
    </w:p>
    <w:p w:rsidR="00412096" w:rsidRPr="0069221F" w:rsidRDefault="00315366" w:rsidP="00412096">
      <w:pPr>
        <w:rPr>
          <w:b/>
          <w:sz w:val="18"/>
          <w:szCs w:val="18"/>
        </w:rPr>
      </w:pPr>
      <w:r>
        <w:rPr>
          <w:b/>
          <w:sz w:val="18"/>
          <w:szCs w:val="18"/>
        </w:rPr>
        <w:lastRenderedPageBreak/>
        <w:t xml:space="preserve">II. </w:t>
      </w:r>
      <w:r w:rsidR="00412096" w:rsidRPr="0069221F">
        <w:rPr>
          <w:b/>
          <w:sz w:val="18"/>
          <w:szCs w:val="18"/>
        </w:rPr>
        <w:t>Group Member Types:</w:t>
      </w:r>
    </w:p>
    <w:tbl>
      <w:tblPr>
        <w:tblStyle w:val="TableGrid"/>
        <w:tblW w:w="0" w:type="auto"/>
        <w:tblLook w:val="04A0" w:firstRow="1" w:lastRow="0" w:firstColumn="1" w:lastColumn="0" w:noHBand="0" w:noVBand="1"/>
      </w:tblPr>
      <w:tblGrid>
        <w:gridCol w:w="1627"/>
        <w:gridCol w:w="4310"/>
        <w:gridCol w:w="3639"/>
      </w:tblGrid>
      <w:tr w:rsidR="00DF343D" w:rsidRPr="0069221F" w:rsidTr="00330D61">
        <w:tc>
          <w:tcPr>
            <w:tcW w:w="1627" w:type="dxa"/>
            <w:shd w:val="clear" w:color="auto" w:fill="BFBFBF" w:themeFill="background1" w:themeFillShade="BF"/>
          </w:tcPr>
          <w:p w:rsidR="00DF343D" w:rsidRPr="0069221F" w:rsidRDefault="00DF343D" w:rsidP="002063C0">
            <w:pPr>
              <w:jc w:val="center"/>
              <w:rPr>
                <w:b/>
                <w:sz w:val="18"/>
                <w:szCs w:val="18"/>
              </w:rPr>
            </w:pPr>
            <w:r>
              <w:rPr>
                <w:b/>
                <w:sz w:val="18"/>
                <w:szCs w:val="18"/>
              </w:rPr>
              <w:t xml:space="preserve">Group </w:t>
            </w:r>
            <w:r w:rsidRPr="0069221F">
              <w:rPr>
                <w:b/>
                <w:sz w:val="18"/>
                <w:szCs w:val="18"/>
              </w:rPr>
              <w:t>Member</w:t>
            </w:r>
            <w:r>
              <w:rPr>
                <w:b/>
                <w:sz w:val="18"/>
                <w:szCs w:val="18"/>
              </w:rPr>
              <w:t xml:space="preserve"> </w:t>
            </w:r>
            <w:r w:rsidRPr="0069221F">
              <w:rPr>
                <w:b/>
                <w:sz w:val="18"/>
                <w:szCs w:val="18"/>
              </w:rPr>
              <w:t>Type</w:t>
            </w:r>
          </w:p>
        </w:tc>
        <w:tc>
          <w:tcPr>
            <w:tcW w:w="4310" w:type="dxa"/>
            <w:shd w:val="clear" w:color="auto" w:fill="BFBFBF" w:themeFill="background1" w:themeFillShade="BF"/>
          </w:tcPr>
          <w:p w:rsidR="00DF343D" w:rsidRPr="0069221F" w:rsidRDefault="00DF343D" w:rsidP="008E48F2">
            <w:pPr>
              <w:jc w:val="center"/>
              <w:rPr>
                <w:b/>
                <w:sz w:val="18"/>
                <w:szCs w:val="18"/>
              </w:rPr>
            </w:pPr>
            <w:r w:rsidRPr="0069221F">
              <w:rPr>
                <w:b/>
                <w:sz w:val="18"/>
                <w:szCs w:val="18"/>
              </w:rPr>
              <w:t>Definition</w:t>
            </w:r>
          </w:p>
        </w:tc>
        <w:tc>
          <w:tcPr>
            <w:tcW w:w="3639" w:type="dxa"/>
            <w:shd w:val="clear" w:color="auto" w:fill="BFBFBF" w:themeFill="background1" w:themeFillShade="BF"/>
          </w:tcPr>
          <w:p w:rsidR="00DF343D" w:rsidRPr="0069221F" w:rsidRDefault="00DF343D" w:rsidP="008E48F2">
            <w:pPr>
              <w:jc w:val="center"/>
              <w:rPr>
                <w:b/>
                <w:sz w:val="18"/>
                <w:szCs w:val="18"/>
              </w:rPr>
            </w:pPr>
            <w:r>
              <w:rPr>
                <w:b/>
                <w:sz w:val="18"/>
                <w:szCs w:val="18"/>
              </w:rPr>
              <w:t>Notes</w:t>
            </w:r>
          </w:p>
        </w:tc>
      </w:tr>
      <w:tr w:rsidR="00155BBE" w:rsidRPr="0069221F" w:rsidTr="00315366">
        <w:tc>
          <w:tcPr>
            <w:tcW w:w="9576" w:type="dxa"/>
            <w:gridSpan w:val="3"/>
            <w:shd w:val="clear" w:color="auto" w:fill="D9D9D9" w:themeFill="background1" w:themeFillShade="D9"/>
          </w:tcPr>
          <w:p w:rsidR="00155BBE" w:rsidRDefault="00155BBE" w:rsidP="008E48F2">
            <w:pPr>
              <w:rPr>
                <w:sz w:val="18"/>
                <w:szCs w:val="18"/>
              </w:rPr>
            </w:pPr>
            <w:r>
              <w:rPr>
                <w:sz w:val="18"/>
                <w:szCs w:val="18"/>
              </w:rPr>
              <w:t xml:space="preserve">The following identifies the key roles and definitions used within the GNSO to address </w:t>
            </w:r>
            <w:proofErr w:type="spellStart"/>
            <w:r>
              <w:rPr>
                <w:sz w:val="18"/>
                <w:szCs w:val="18"/>
              </w:rPr>
              <w:t>gTLD</w:t>
            </w:r>
            <w:proofErr w:type="spellEnd"/>
            <w:r>
              <w:rPr>
                <w:sz w:val="18"/>
                <w:szCs w:val="18"/>
              </w:rPr>
              <w:t xml:space="preserve"> policy development or deliberate issues related to the DNS.</w:t>
            </w:r>
          </w:p>
          <w:p w:rsidR="00155BBE" w:rsidRDefault="00155BBE" w:rsidP="008E48F2">
            <w:pPr>
              <w:rPr>
                <w:sz w:val="18"/>
                <w:szCs w:val="18"/>
              </w:rPr>
            </w:pPr>
          </w:p>
          <w:p w:rsidR="00155BBE" w:rsidRDefault="00155BBE" w:rsidP="008E48F2">
            <w:pPr>
              <w:rPr>
                <w:sz w:val="18"/>
                <w:szCs w:val="18"/>
              </w:rPr>
            </w:pPr>
            <w:r>
              <w:rPr>
                <w:sz w:val="18"/>
                <w:szCs w:val="18"/>
              </w:rPr>
              <w:t>[These profiles will be used for the online WG signup tool that will require logic definitions should a community member wish to upgrade or down grade their role for a given effort.] [This will also have a connection SOIs that will be attached to profiles]</w:t>
            </w:r>
          </w:p>
        </w:tc>
      </w:tr>
      <w:tr w:rsidR="00DF343D" w:rsidRPr="0069221F" w:rsidTr="00330D61">
        <w:tc>
          <w:tcPr>
            <w:tcW w:w="1627" w:type="dxa"/>
          </w:tcPr>
          <w:p w:rsidR="00DF343D" w:rsidRPr="0069221F" w:rsidRDefault="00DF343D" w:rsidP="008E48F2">
            <w:pPr>
              <w:rPr>
                <w:sz w:val="18"/>
                <w:szCs w:val="18"/>
              </w:rPr>
            </w:pPr>
            <w:r>
              <w:rPr>
                <w:sz w:val="18"/>
                <w:szCs w:val="18"/>
              </w:rPr>
              <w:t>Council Member</w:t>
            </w:r>
          </w:p>
        </w:tc>
        <w:tc>
          <w:tcPr>
            <w:tcW w:w="4310" w:type="dxa"/>
          </w:tcPr>
          <w:p w:rsidR="00DF343D" w:rsidRDefault="00DF343D" w:rsidP="008E48F2">
            <w:pPr>
              <w:rPr>
                <w:sz w:val="18"/>
                <w:szCs w:val="18"/>
              </w:rPr>
            </w:pPr>
            <w:r w:rsidRPr="00313C45">
              <w:rPr>
                <w:sz w:val="18"/>
                <w:szCs w:val="18"/>
              </w:rPr>
              <w:t>The terms “Council member,” Council representative,” and “Councilor” have the same meaning</w:t>
            </w:r>
          </w:p>
          <w:p w:rsidR="00DF343D" w:rsidRPr="0069221F" w:rsidRDefault="00DF343D" w:rsidP="008E48F2">
            <w:pPr>
              <w:rPr>
                <w:sz w:val="18"/>
                <w:szCs w:val="18"/>
              </w:rPr>
            </w:pPr>
          </w:p>
        </w:tc>
        <w:tc>
          <w:tcPr>
            <w:tcW w:w="3639" w:type="dxa"/>
          </w:tcPr>
          <w:p w:rsidR="00DF343D" w:rsidRDefault="00DF343D" w:rsidP="008E48F2">
            <w:pPr>
              <w:rPr>
                <w:sz w:val="18"/>
                <w:szCs w:val="18"/>
              </w:rPr>
            </w:pPr>
          </w:p>
        </w:tc>
      </w:tr>
      <w:tr w:rsidR="00DF343D" w:rsidRPr="0069221F" w:rsidTr="00330D61">
        <w:tc>
          <w:tcPr>
            <w:tcW w:w="1627" w:type="dxa"/>
          </w:tcPr>
          <w:p w:rsidR="00DF343D" w:rsidRPr="0069221F" w:rsidRDefault="00DF343D" w:rsidP="008E48F2">
            <w:pPr>
              <w:rPr>
                <w:sz w:val="18"/>
                <w:szCs w:val="18"/>
              </w:rPr>
            </w:pPr>
            <w:r w:rsidRPr="0069221F">
              <w:rPr>
                <w:sz w:val="18"/>
                <w:szCs w:val="18"/>
              </w:rPr>
              <w:t>Chair</w:t>
            </w:r>
          </w:p>
        </w:tc>
        <w:tc>
          <w:tcPr>
            <w:tcW w:w="4310" w:type="dxa"/>
          </w:tcPr>
          <w:p w:rsidR="00DF343D" w:rsidRPr="0069221F" w:rsidRDefault="00DF343D" w:rsidP="008E48F2">
            <w:pPr>
              <w:rPr>
                <w:sz w:val="18"/>
                <w:szCs w:val="18"/>
              </w:rPr>
            </w:pPr>
            <w:r w:rsidRPr="00313C45">
              <w:rPr>
                <w:sz w:val="18"/>
                <w:szCs w:val="18"/>
              </w:rPr>
              <w:t>The purpose of a Chair is to call meetings, preside over working group deliberations, manage the process so that all participants have the opportunity to contribute, and report the results of the Working Group to the Chartering Organization.</w:t>
            </w:r>
          </w:p>
        </w:tc>
        <w:tc>
          <w:tcPr>
            <w:tcW w:w="3639" w:type="dxa"/>
          </w:tcPr>
          <w:p w:rsidR="00DF343D" w:rsidRPr="00313C45" w:rsidRDefault="00DF343D" w:rsidP="008E48F2">
            <w:pPr>
              <w:rPr>
                <w:sz w:val="18"/>
                <w:szCs w:val="18"/>
              </w:rPr>
            </w:pPr>
            <w:r>
              <w:rPr>
                <w:sz w:val="18"/>
                <w:szCs w:val="18"/>
              </w:rPr>
              <w:t>See the GNSO Working Group Guidelines for additional details</w:t>
            </w:r>
          </w:p>
        </w:tc>
      </w:tr>
      <w:tr w:rsidR="00DF343D" w:rsidRPr="0069221F" w:rsidTr="00330D61">
        <w:tc>
          <w:tcPr>
            <w:tcW w:w="1627" w:type="dxa"/>
          </w:tcPr>
          <w:p w:rsidR="00DF343D" w:rsidRPr="0069221F" w:rsidRDefault="00DF343D" w:rsidP="008E48F2">
            <w:pPr>
              <w:rPr>
                <w:sz w:val="18"/>
                <w:szCs w:val="18"/>
              </w:rPr>
            </w:pPr>
            <w:r w:rsidRPr="0069221F">
              <w:rPr>
                <w:sz w:val="18"/>
                <w:szCs w:val="18"/>
              </w:rPr>
              <w:t>Co-Chair</w:t>
            </w:r>
          </w:p>
        </w:tc>
        <w:tc>
          <w:tcPr>
            <w:tcW w:w="4310" w:type="dxa"/>
          </w:tcPr>
          <w:p w:rsidR="00DF343D" w:rsidRPr="0069221F" w:rsidRDefault="00DF343D" w:rsidP="00313C45">
            <w:pPr>
              <w:rPr>
                <w:sz w:val="18"/>
                <w:szCs w:val="18"/>
              </w:rPr>
            </w:pPr>
            <w:r>
              <w:rPr>
                <w:sz w:val="18"/>
                <w:szCs w:val="18"/>
              </w:rPr>
              <w:t>Co-Chairs can be appointed to better facilitate the issue being addressed or policy development exercise.  A Co-Chair has the same authority and role as single Chair, only that it is a shared responsibility.</w:t>
            </w:r>
          </w:p>
        </w:tc>
        <w:tc>
          <w:tcPr>
            <w:tcW w:w="3639" w:type="dxa"/>
          </w:tcPr>
          <w:p w:rsidR="00DF343D" w:rsidRDefault="00DF343D" w:rsidP="00313C45">
            <w:pPr>
              <w:rPr>
                <w:sz w:val="18"/>
                <w:szCs w:val="18"/>
              </w:rPr>
            </w:pPr>
            <w:r>
              <w:rPr>
                <w:sz w:val="18"/>
                <w:szCs w:val="18"/>
              </w:rPr>
              <w:t>See the GNSO Working Group Guidelines for additional details</w:t>
            </w:r>
          </w:p>
        </w:tc>
      </w:tr>
      <w:tr w:rsidR="00DF343D" w:rsidRPr="0069221F" w:rsidTr="00330D61">
        <w:tc>
          <w:tcPr>
            <w:tcW w:w="1627" w:type="dxa"/>
          </w:tcPr>
          <w:p w:rsidR="00DF343D" w:rsidRPr="0069221F" w:rsidRDefault="00DF343D" w:rsidP="008E48F2">
            <w:pPr>
              <w:rPr>
                <w:sz w:val="18"/>
                <w:szCs w:val="18"/>
              </w:rPr>
            </w:pPr>
            <w:r w:rsidRPr="0069221F">
              <w:rPr>
                <w:sz w:val="18"/>
                <w:szCs w:val="18"/>
              </w:rPr>
              <w:t>Vice-Chair</w:t>
            </w:r>
          </w:p>
        </w:tc>
        <w:tc>
          <w:tcPr>
            <w:tcW w:w="4310" w:type="dxa"/>
          </w:tcPr>
          <w:p w:rsidR="00DF343D" w:rsidRPr="0069221F" w:rsidRDefault="00DF343D" w:rsidP="008E48F2">
            <w:pPr>
              <w:rPr>
                <w:sz w:val="18"/>
                <w:szCs w:val="18"/>
              </w:rPr>
            </w:pPr>
            <w:r>
              <w:rPr>
                <w:sz w:val="18"/>
                <w:szCs w:val="18"/>
              </w:rPr>
              <w:t>Vice-Chairs can be designated to support the Chair or Co-Chairs.</w:t>
            </w:r>
          </w:p>
        </w:tc>
        <w:tc>
          <w:tcPr>
            <w:tcW w:w="3639" w:type="dxa"/>
          </w:tcPr>
          <w:p w:rsidR="00DF343D" w:rsidRDefault="00DF343D" w:rsidP="008E48F2">
            <w:pPr>
              <w:rPr>
                <w:sz w:val="18"/>
                <w:szCs w:val="18"/>
              </w:rPr>
            </w:pPr>
            <w:r>
              <w:rPr>
                <w:sz w:val="18"/>
                <w:szCs w:val="18"/>
              </w:rPr>
              <w:t>See the GNSO Working Group Guidelines for additional details</w:t>
            </w:r>
          </w:p>
        </w:tc>
      </w:tr>
      <w:tr w:rsidR="00DF343D" w:rsidRPr="0069221F" w:rsidTr="00330D61">
        <w:tc>
          <w:tcPr>
            <w:tcW w:w="1627" w:type="dxa"/>
          </w:tcPr>
          <w:p w:rsidR="00DF343D" w:rsidRPr="0069221F" w:rsidRDefault="00DF343D" w:rsidP="008E48F2">
            <w:pPr>
              <w:rPr>
                <w:sz w:val="18"/>
                <w:szCs w:val="18"/>
              </w:rPr>
            </w:pPr>
            <w:r>
              <w:rPr>
                <w:sz w:val="18"/>
                <w:szCs w:val="18"/>
              </w:rPr>
              <w:t>Liaison</w:t>
            </w:r>
          </w:p>
        </w:tc>
        <w:tc>
          <w:tcPr>
            <w:tcW w:w="4310" w:type="dxa"/>
          </w:tcPr>
          <w:p w:rsidR="00DF343D" w:rsidRPr="0069221F" w:rsidRDefault="00DF343D" w:rsidP="008E48F2">
            <w:pPr>
              <w:rPr>
                <w:sz w:val="18"/>
                <w:szCs w:val="18"/>
              </w:rPr>
            </w:pPr>
            <w:r>
              <w:rPr>
                <w:sz w:val="18"/>
                <w:szCs w:val="18"/>
              </w:rPr>
              <w:t>This can refer either to a liaison to a GNSO Working Group appointed by the GNSO Council and who is an existing Council member, or to a nominee from another SO/AC .</w:t>
            </w:r>
          </w:p>
        </w:tc>
        <w:tc>
          <w:tcPr>
            <w:tcW w:w="3639" w:type="dxa"/>
          </w:tcPr>
          <w:p w:rsidR="00DF343D" w:rsidRDefault="00DF343D" w:rsidP="008E48F2">
            <w:pPr>
              <w:rPr>
                <w:sz w:val="18"/>
                <w:szCs w:val="18"/>
              </w:rPr>
            </w:pPr>
          </w:p>
        </w:tc>
      </w:tr>
      <w:tr w:rsidR="00DF343D" w:rsidRPr="0069221F" w:rsidTr="00330D61">
        <w:tc>
          <w:tcPr>
            <w:tcW w:w="1627" w:type="dxa"/>
          </w:tcPr>
          <w:p w:rsidR="00DF343D" w:rsidRPr="0069221F" w:rsidRDefault="00DF343D" w:rsidP="008E48F2">
            <w:pPr>
              <w:rPr>
                <w:sz w:val="18"/>
                <w:szCs w:val="18"/>
              </w:rPr>
            </w:pPr>
            <w:r w:rsidRPr="0069221F">
              <w:rPr>
                <w:sz w:val="18"/>
                <w:szCs w:val="18"/>
              </w:rPr>
              <w:t>Member</w:t>
            </w:r>
          </w:p>
        </w:tc>
        <w:tc>
          <w:tcPr>
            <w:tcW w:w="4310" w:type="dxa"/>
          </w:tcPr>
          <w:p w:rsidR="00DF343D" w:rsidRPr="0069221F" w:rsidRDefault="00DF343D" w:rsidP="008E48F2">
            <w:pPr>
              <w:rPr>
                <w:sz w:val="18"/>
                <w:szCs w:val="18"/>
              </w:rPr>
            </w:pPr>
            <w:r>
              <w:rPr>
                <w:sz w:val="18"/>
                <w:szCs w:val="18"/>
              </w:rPr>
              <w:t>The role of Members in GNSO Working Groups is defined in the GNSO’s Working Group Guidelines; for CWG/CCWGs, Members are nominated or designated by SO/AC Chartering Organizations to participate in the CWG/CCWG, with roles and responsibilities as may be specified in the CWG/CCWG Charter.</w:t>
            </w:r>
          </w:p>
        </w:tc>
        <w:tc>
          <w:tcPr>
            <w:tcW w:w="3639" w:type="dxa"/>
          </w:tcPr>
          <w:p w:rsidR="00DF343D" w:rsidRDefault="00315366" w:rsidP="008E48F2">
            <w:pPr>
              <w:rPr>
                <w:sz w:val="18"/>
                <w:szCs w:val="18"/>
              </w:rPr>
            </w:pPr>
            <w:r>
              <w:rPr>
                <w:sz w:val="18"/>
                <w:szCs w:val="18"/>
              </w:rPr>
              <w:t>Further details may emerge from the expected recommendations from CWG-Principles</w:t>
            </w:r>
          </w:p>
        </w:tc>
      </w:tr>
      <w:tr w:rsidR="00DF343D" w:rsidRPr="0069221F" w:rsidTr="00330D61">
        <w:tc>
          <w:tcPr>
            <w:tcW w:w="1627" w:type="dxa"/>
          </w:tcPr>
          <w:p w:rsidR="00DF343D" w:rsidRPr="0069221F" w:rsidRDefault="00DF343D" w:rsidP="008E48F2">
            <w:pPr>
              <w:rPr>
                <w:sz w:val="18"/>
                <w:szCs w:val="18"/>
              </w:rPr>
            </w:pPr>
            <w:r w:rsidRPr="0069221F">
              <w:rPr>
                <w:sz w:val="18"/>
                <w:szCs w:val="18"/>
              </w:rPr>
              <w:t>Participant</w:t>
            </w:r>
          </w:p>
        </w:tc>
        <w:tc>
          <w:tcPr>
            <w:tcW w:w="4310" w:type="dxa"/>
          </w:tcPr>
          <w:p w:rsidR="00DF343D" w:rsidRPr="0069221F" w:rsidRDefault="00DF343D" w:rsidP="00DF343D">
            <w:pPr>
              <w:rPr>
                <w:sz w:val="18"/>
                <w:szCs w:val="18"/>
              </w:rPr>
            </w:pPr>
            <w:r>
              <w:rPr>
                <w:sz w:val="18"/>
                <w:szCs w:val="18"/>
              </w:rPr>
              <w:t xml:space="preserve">Participants are self-designated volunteers to GNSO WGs and CWG/CCWGs, with roles and responsibilities as may be specified in the CWG/CWG </w:t>
            </w:r>
            <w:proofErr w:type="gramStart"/>
            <w:r>
              <w:rPr>
                <w:sz w:val="18"/>
                <w:szCs w:val="18"/>
              </w:rPr>
              <w:t>Charter .</w:t>
            </w:r>
            <w:proofErr w:type="gramEnd"/>
          </w:p>
        </w:tc>
        <w:tc>
          <w:tcPr>
            <w:tcW w:w="3639" w:type="dxa"/>
          </w:tcPr>
          <w:p w:rsidR="00DF343D" w:rsidRDefault="00315366" w:rsidP="008E48F2">
            <w:pPr>
              <w:rPr>
                <w:sz w:val="18"/>
                <w:szCs w:val="18"/>
              </w:rPr>
            </w:pPr>
            <w:r>
              <w:rPr>
                <w:sz w:val="18"/>
                <w:szCs w:val="18"/>
              </w:rPr>
              <w:t>Further details may emerge from the expected recommendations from CWG-Principles</w:t>
            </w:r>
          </w:p>
        </w:tc>
      </w:tr>
      <w:tr w:rsidR="00DF343D" w:rsidRPr="0069221F" w:rsidTr="00330D61">
        <w:tc>
          <w:tcPr>
            <w:tcW w:w="1627" w:type="dxa"/>
          </w:tcPr>
          <w:p w:rsidR="00DF343D" w:rsidRPr="0069221F" w:rsidRDefault="00DF343D" w:rsidP="008E48F2">
            <w:pPr>
              <w:rPr>
                <w:sz w:val="18"/>
                <w:szCs w:val="18"/>
              </w:rPr>
            </w:pPr>
            <w:r w:rsidRPr="0069221F">
              <w:rPr>
                <w:sz w:val="18"/>
                <w:szCs w:val="18"/>
              </w:rPr>
              <w:t>Observer</w:t>
            </w:r>
          </w:p>
        </w:tc>
        <w:tc>
          <w:tcPr>
            <w:tcW w:w="4310" w:type="dxa"/>
          </w:tcPr>
          <w:p w:rsidR="00DF343D" w:rsidRPr="0069221F" w:rsidRDefault="00DF343D" w:rsidP="008E48F2">
            <w:pPr>
              <w:rPr>
                <w:sz w:val="18"/>
                <w:szCs w:val="18"/>
              </w:rPr>
            </w:pPr>
            <w:r>
              <w:rPr>
                <w:sz w:val="18"/>
                <w:szCs w:val="18"/>
              </w:rPr>
              <w:t>Community members that are interested in monitoring a issue or policy under deliberation by a GNSO WG or a CWG/CCWG but who do not participate on calls, at meetings or on the mailing lists. Unless excluded or otherwise specified in a WG/CWG/CCWG Charter, an Observer may voluntarily change his/her status to that of a Member at any time during the operations of that WG/CWG/CCWG.</w:t>
            </w:r>
          </w:p>
        </w:tc>
        <w:tc>
          <w:tcPr>
            <w:tcW w:w="3639" w:type="dxa"/>
          </w:tcPr>
          <w:p w:rsidR="00DF343D" w:rsidRDefault="00315366" w:rsidP="008E48F2">
            <w:pPr>
              <w:rPr>
                <w:sz w:val="18"/>
                <w:szCs w:val="18"/>
              </w:rPr>
            </w:pPr>
            <w:r>
              <w:rPr>
                <w:sz w:val="18"/>
                <w:szCs w:val="18"/>
              </w:rPr>
              <w:t>Further details may emerge from the expected recommendations from CWG-Principles</w:t>
            </w:r>
          </w:p>
        </w:tc>
      </w:tr>
      <w:tr w:rsidR="00DF343D" w:rsidRPr="0069221F" w:rsidTr="00330D61">
        <w:tc>
          <w:tcPr>
            <w:tcW w:w="1627" w:type="dxa"/>
          </w:tcPr>
          <w:p w:rsidR="00DF343D" w:rsidRPr="0069221F" w:rsidRDefault="00DF343D" w:rsidP="008E48F2">
            <w:pPr>
              <w:rPr>
                <w:sz w:val="18"/>
                <w:szCs w:val="18"/>
              </w:rPr>
            </w:pPr>
            <w:r w:rsidRPr="0069221F">
              <w:rPr>
                <w:sz w:val="18"/>
                <w:szCs w:val="18"/>
              </w:rPr>
              <w:t>Staff</w:t>
            </w:r>
          </w:p>
        </w:tc>
        <w:tc>
          <w:tcPr>
            <w:tcW w:w="4310" w:type="dxa"/>
          </w:tcPr>
          <w:p w:rsidR="00DF343D" w:rsidRPr="0069221F" w:rsidRDefault="00DF343D" w:rsidP="008D0773">
            <w:pPr>
              <w:rPr>
                <w:sz w:val="18"/>
                <w:szCs w:val="18"/>
              </w:rPr>
            </w:pPr>
            <w:r>
              <w:rPr>
                <w:sz w:val="18"/>
                <w:szCs w:val="18"/>
              </w:rPr>
              <w:t>ICANN staff assigned to support a particular WG/CWG/CCWG initiative or who otherwise performs a specific role within ICANN.</w:t>
            </w:r>
          </w:p>
        </w:tc>
        <w:tc>
          <w:tcPr>
            <w:tcW w:w="3639" w:type="dxa"/>
          </w:tcPr>
          <w:p w:rsidR="00DF343D" w:rsidRDefault="00DF343D" w:rsidP="008D0773">
            <w:pPr>
              <w:rPr>
                <w:sz w:val="18"/>
                <w:szCs w:val="18"/>
              </w:rPr>
            </w:pPr>
          </w:p>
        </w:tc>
      </w:tr>
    </w:tbl>
    <w:p w:rsidR="00412096" w:rsidRPr="0069221F" w:rsidRDefault="00412096" w:rsidP="00412096">
      <w:pPr>
        <w:rPr>
          <w:sz w:val="18"/>
          <w:szCs w:val="18"/>
        </w:rPr>
      </w:pPr>
    </w:p>
    <w:p w:rsidR="00F029ED" w:rsidRPr="00F029ED" w:rsidRDefault="00F029ED" w:rsidP="00315366">
      <w:pPr>
        <w:rPr>
          <w:sz w:val="18"/>
          <w:szCs w:val="18"/>
        </w:rPr>
      </w:pPr>
    </w:p>
    <w:sectPr w:rsidR="00F029ED" w:rsidRPr="00F029ED" w:rsidSect="00330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66" w:rsidRDefault="00315366" w:rsidP="005E67FD">
      <w:pPr>
        <w:spacing w:after="0" w:line="240" w:lineRule="auto"/>
      </w:pPr>
      <w:r>
        <w:separator/>
      </w:r>
    </w:p>
  </w:endnote>
  <w:endnote w:type="continuationSeparator" w:id="0">
    <w:p w:rsidR="00315366" w:rsidRDefault="00315366" w:rsidP="005E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66" w:rsidRDefault="00315366" w:rsidP="00315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5366" w:rsidRDefault="00315366" w:rsidP="003153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66" w:rsidRDefault="00315366" w:rsidP="00315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5D08">
      <w:rPr>
        <w:rStyle w:val="PageNumber"/>
        <w:noProof/>
      </w:rPr>
      <w:t>1</w:t>
    </w:r>
    <w:r>
      <w:rPr>
        <w:rStyle w:val="PageNumber"/>
      </w:rPr>
      <w:fldChar w:fldCharType="end"/>
    </w:r>
  </w:p>
  <w:p w:rsidR="00315366" w:rsidRDefault="00315366" w:rsidP="003153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66" w:rsidRDefault="00315366" w:rsidP="005E67FD">
      <w:pPr>
        <w:spacing w:after="0" w:line="240" w:lineRule="auto"/>
      </w:pPr>
      <w:r>
        <w:separator/>
      </w:r>
    </w:p>
  </w:footnote>
  <w:footnote w:type="continuationSeparator" w:id="0">
    <w:p w:rsidR="00315366" w:rsidRDefault="00315366" w:rsidP="005E67FD">
      <w:pPr>
        <w:spacing w:after="0" w:line="240" w:lineRule="auto"/>
      </w:pPr>
      <w:r>
        <w:continuationSeparator/>
      </w:r>
    </w:p>
  </w:footnote>
  <w:footnote w:id="1">
    <w:p w:rsidR="00BE5D08" w:rsidRPr="00BE5D08" w:rsidRDefault="00BE5D08">
      <w:pPr>
        <w:pStyle w:val="FootnoteText"/>
        <w:rPr>
          <w:sz w:val="18"/>
          <w:szCs w:val="18"/>
        </w:rPr>
      </w:pPr>
      <w:r w:rsidRPr="00BE5D08">
        <w:rPr>
          <w:rStyle w:val="FootnoteReference"/>
          <w:sz w:val="18"/>
          <w:szCs w:val="18"/>
        </w:rPr>
        <w:footnoteRef/>
      </w:r>
      <w:r w:rsidRPr="00BE5D08">
        <w:rPr>
          <w:sz w:val="18"/>
          <w:szCs w:val="18"/>
        </w:rPr>
        <w:t xml:space="preserve"> In particular, Section 6 and Annexes J and L of the Working Group’s Final Report: </w:t>
      </w:r>
      <w:hyperlink r:id="rId1" w:history="1">
        <w:r w:rsidRPr="00BE5D08">
          <w:rPr>
            <w:rStyle w:val="Hyperlink"/>
            <w:sz w:val="18"/>
            <w:szCs w:val="18"/>
          </w:rPr>
          <w:t>http://gnso.icann.org/en/drafts/policy-implementation-recommendations-01jun15-en.pdf</w:t>
        </w:r>
      </w:hyperlink>
      <w:r w:rsidRPr="00BE5D08">
        <w:rPr>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955DC"/>
    <w:multiLevelType w:val="hybridMultilevel"/>
    <w:tmpl w:val="48FA1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08122E2"/>
    <w:multiLevelType w:val="hybridMultilevel"/>
    <w:tmpl w:val="F0EE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939AC"/>
    <w:multiLevelType w:val="hybridMultilevel"/>
    <w:tmpl w:val="6186D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CFD242E"/>
    <w:multiLevelType w:val="hybridMultilevel"/>
    <w:tmpl w:val="74B2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77CC8"/>
    <w:multiLevelType w:val="hybridMultilevel"/>
    <w:tmpl w:val="69963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B775B93"/>
    <w:multiLevelType w:val="hybridMultilevel"/>
    <w:tmpl w:val="D6C85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5C4A5970"/>
    <w:multiLevelType w:val="hybridMultilevel"/>
    <w:tmpl w:val="9C88A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32"/>
    <w:rsid w:val="00155BBE"/>
    <w:rsid w:val="002063C0"/>
    <w:rsid w:val="0021392D"/>
    <w:rsid w:val="002D6891"/>
    <w:rsid w:val="00313C45"/>
    <w:rsid w:val="00315366"/>
    <w:rsid w:val="00330D61"/>
    <w:rsid w:val="00412096"/>
    <w:rsid w:val="004F04CC"/>
    <w:rsid w:val="00501CBC"/>
    <w:rsid w:val="005E67FD"/>
    <w:rsid w:val="0069221F"/>
    <w:rsid w:val="00694351"/>
    <w:rsid w:val="007B1692"/>
    <w:rsid w:val="007C5C82"/>
    <w:rsid w:val="00805F75"/>
    <w:rsid w:val="0089309A"/>
    <w:rsid w:val="008D0773"/>
    <w:rsid w:val="008E48F2"/>
    <w:rsid w:val="00A12844"/>
    <w:rsid w:val="00A20481"/>
    <w:rsid w:val="00A50671"/>
    <w:rsid w:val="00B849C5"/>
    <w:rsid w:val="00BE5D08"/>
    <w:rsid w:val="00CC5FC6"/>
    <w:rsid w:val="00CD6EB5"/>
    <w:rsid w:val="00D25D7A"/>
    <w:rsid w:val="00D26725"/>
    <w:rsid w:val="00D335BC"/>
    <w:rsid w:val="00DA6729"/>
    <w:rsid w:val="00DF343D"/>
    <w:rsid w:val="00E259E5"/>
    <w:rsid w:val="00E96F32"/>
    <w:rsid w:val="00EE3D95"/>
    <w:rsid w:val="00EF134C"/>
    <w:rsid w:val="00F029ED"/>
    <w:rsid w:val="00F93842"/>
    <w:rsid w:val="00FF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221F"/>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5E67FD"/>
    <w:rPr>
      <w:sz w:val="16"/>
      <w:szCs w:val="16"/>
    </w:rPr>
  </w:style>
  <w:style w:type="paragraph" w:styleId="CommentText">
    <w:name w:val="annotation text"/>
    <w:basedOn w:val="Normal"/>
    <w:link w:val="CommentTextChar"/>
    <w:uiPriority w:val="99"/>
    <w:semiHidden/>
    <w:unhideWhenUsed/>
    <w:rsid w:val="005E67FD"/>
    <w:pPr>
      <w:spacing w:line="240" w:lineRule="auto"/>
    </w:pPr>
    <w:rPr>
      <w:sz w:val="20"/>
      <w:szCs w:val="20"/>
    </w:rPr>
  </w:style>
  <w:style w:type="character" w:customStyle="1" w:styleId="CommentTextChar">
    <w:name w:val="Comment Text Char"/>
    <w:basedOn w:val="DefaultParagraphFont"/>
    <w:link w:val="CommentText"/>
    <w:uiPriority w:val="99"/>
    <w:semiHidden/>
    <w:rsid w:val="005E67FD"/>
    <w:rPr>
      <w:sz w:val="20"/>
      <w:szCs w:val="20"/>
    </w:rPr>
  </w:style>
  <w:style w:type="paragraph" w:styleId="CommentSubject">
    <w:name w:val="annotation subject"/>
    <w:basedOn w:val="CommentText"/>
    <w:next w:val="CommentText"/>
    <w:link w:val="CommentSubjectChar"/>
    <w:uiPriority w:val="99"/>
    <w:semiHidden/>
    <w:unhideWhenUsed/>
    <w:rsid w:val="005E67FD"/>
    <w:rPr>
      <w:b/>
      <w:bCs/>
    </w:rPr>
  </w:style>
  <w:style w:type="character" w:customStyle="1" w:styleId="CommentSubjectChar">
    <w:name w:val="Comment Subject Char"/>
    <w:basedOn w:val="CommentTextChar"/>
    <w:link w:val="CommentSubject"/>
    <w:uiPriority w:val="99"/>
    <w:semiHidden/>
    <w:rsid w:val="005E67FD"/>
    <w:rPr>
      <w:b/>
      <w:bCs/>
      <w:sz w:val="20"/>
      <w:szCs w:val="20"/>
    </w:rPr>
  </w:style>
  <w:style w:type="paragraph" w:styleId="BalloonText">
    <w:name w:val="Balloon Text"/>
    <w:basedOn w:val="Normal"/>
    <w:link w:val="BalloonTextChar"/>
    <w:uiPriority w:val="99"/>
    <w:semiHidden/>
    <w:unhideWhenUsed/>
    <w:rsid w:val="005E6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7FD"/>
    <w:rPr>
      <w:rFonts w:ascii="Tahoma" w:hAnsi="Tahoma" w:cs="Tahoma"/>
      <w:sz w:val="16"/>
      <w:szCs w:val="16"/>
    </w:rPr>
  </w:style>
  <w:style w:type="paragraph" w:styleId="FootnoteText">
    <w:name w:val="footnote text"/>
    <w:basedOn w:val="Normal"/>
    <w:link w:val="FootnoteTextChar"/>
    <w:uiPriority w:val="99"/>
    <w:unhideWhenUsed/>
    <w:rsid w:val="005E67FD"/>
    <w:pPr>
      <w:spacing w:after="0" w:line="240" w:lineRule="auto"/>
    </w:pPr>
    <w:rPr>
      <w:sz w:val="20"/>
      <w:szCs w:val="20"/>
    </w:rPr>
  </w:style>
  <w:style w:type="character" w:customStyle="1" w:styleId="FootnoteTextChar">
    <w:name w:val="Footnote Text Char"/>
    <w:basedOn w:val="DefaultParagraphFont"/>
    <w:link w:val="FootnoteText"/>
    <w:uiPriority w:val="99"/>
    <w:rsid w:val="005E67FD"/>
    <w:rPr>
      <w:sz w:val="20"/>
      <w:szCs w:val="20"/>
    </w:rPr>
  </w:style>
  <w:style w:type="character" w:styleId="FootnoteReference">
    <w:name w:val="footnote reference"/>
    <w:basedOn w:val="DefaultParagraphFont"/>
    <w:uiPriority w:val="99"/>
    <w:unhideWhenUsed/>
    <w:rsid w:val="005E67FD"/>
    <w:rPr>
      <w:vertAlign w:val="superscript"/>
    </w:rPr>
  </w:style>
  <w:style w:type="paragraph" w:styleId="Revision">
    <w:name w:val="Revision"/>
    <w:hidden/>
    <w:uiPriority w:val="99"/>
    <w:semiHidden/>
    <w:rsid w:val="008E48F2"/>
    <w:pPr>
      <w:spacing w:after="0" w:line="240" w:lineRule="auto"/>
    </w:pPr>
  </w:style>
  <w:style w:type="paragraph" w:styleId="Footer">
    <w:name w:val="footer"/>
    <w:basedOn w:val="Normal"/>
    <w:link w:val="FooterChar"/>
    <w:uiPriority w:val="99"/>
    <w:unhideWhenUsed/>
    <w:rsid w:val="003153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5366"/>
  </w:style>
  <w:style w:type="character" w:styleId="PageNumber">
    <w:name w:val="page number"/>
    <w:basedOn w:val="DefaultParagraphFont"/>
    <w:uiPriority w:val="99"/>
    <w:semiHidden/>
    <w:unhideWhenUsed/>
    <w:rsid w:val="00315366"/>
  </w:style>
  <w:style w:type="character" w:styleId="Hyperlink">
    <w:name w:val="Hyperlink"/>
    <w:basedOn w:val="DefaultParagraphFont"/>
    <w:uiPriority w:val="99"/>
    <w:unhideWhenUsed/>
    <w:rsid w:val="00BE5D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221F"/>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5E67FD"/>
    <w:rPr>
      <w:sz w:val="16"/>
      <w:szCs w:val="16"/>
    </w:rPr>
  </w:style>
  <w:style w:type="paragraph" w:styleId="CommentText">
    <w:name w:val="annotation text"/>
    <w:basedOn w:val="Normal"/>
    <w:link w:val="CommentTextChar"/>
    <w:uiPriority w:val="99"/>
    <w:semiHidden/>
    <w:unhideWhenUsed/>
    <w:rsid w:val="005E67FD"/>
    <w:pPr>
      <w:spacing w:line="240" w:lineRule="auto"/>
    </w:pPr>
    <w:rPr>
      <w:sz w:val="20"/>
      <w:szCs w:val="20"/>
    </w:rPr>
  </w:style>
  <w:style w:type="character" w:customStyle="1" w:styleId="CommentTextChar">
    <w:name w:val="Comment Text Char"/>
    <w:basedOn w:val="DefaultParagraphFont"/>
    <w:link w:val="CommentText"/>
    <w:uiPriority w:val="99"/>
    <w:semiHidden/>
    <w:rsid w:val="005E67FD"/>
    <w:rPr>
      <w:sz w:val="20"/>
      <w:szCs w:val="20"/>
    </w:rPr>
  </w:style>
  <w:style w:type="paragraph" w:styleId="CommentSubject">
    <w:name w:val="annotation subject"/>
    <w:basedOn w:val="CommentText"/>
    <w:next w:val="CommentText"/>
    <w:link w:val="CommentSubjectChar"/>
    <w:uiPriority w:val="99"/>
    <w:semiHidden/>
    <w:unhideWhenUsed/>
    <w:rsid w:val="005E67FD"/>
    <w:rPr>
      <w:b/>
      <w:bCs/>
    </w:rPr>
  </w:style>
  <w:style w:type="character" w:customStyle="1" w:styleId="CommentSubjectChar">
    <w:name w:val="Comment Subject Char"/>
    <w:basedOn w:val="CommentTextChar"/>
    <w:link w:val="CommentSubject"/>
    <w:uiPriority w:val="99"/>
    <w:semiHidden/>
    <w:rsid w:val="005E67FD"/>
    <w:rPr>
      <w:b/>
      <w:bCs/>
      <w:sz w:val="20"/>
      <w:szCs w:val="20"/>
    </w:rPr>
  </w:style>
  <w:style w:type="paragraph" w:styleId="BalloonText">
    <w:name w:val="Balloon Text"/>
    <w:basedOn w:val="Normal"/>
    <w:link w:val="BalloonTextChar"/>
    <w:uiPriority w:val="99"/>
    <w:semiHidden/>
    <w:unhideWhenUsed/>
    <w:rsid w:val="005E6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7FD"/>
    <w:rPr>
      <w:rFonts w:ascii="Tahoma" w:hAnsi="Tahoma" w:cs="Tahoma"/>
      <w:sz w:val="16"/>
      <w:szCs w:val="16"/>
    </w:rPr>
  </w:style>
  <w:style w:type="paragraph" w:styleId="FootnoteText">
    <w:name w:val="footnote text"/>
    <w:basedOn w:val="Normal"/>
    <w:link w:val="FootnoteTextChar"/>
    <w:uiPriority w:val="99"/>
    <w:unhideWhenUsed/>
    <w:rsid w:val="005E67FD"/>
    <w:pPr>
      <w:spacing w:after="0" w:line="240" w:lineRule="auto"/>
    </w:pPr>
    <w:rPr>
      <w:sz w:val="20"/>
      <w:szCs w:val="20"/>
    </w:rPr>
  </w:style>
  <w:style w:type="character" w:customStyle="1" w:styleId="FootnoteTextChar">
    <w:name w:val="Footnote Text Char"/>
    <w:basedOn w:val="DefaultParagraphFont"/>
    <w:link w:val="FootnoteText"/>
    <w:uiPriority w:val="99"/>
    <w:rsid w:val="005E67FD"/>
    <w:rPr>
      <w:sz w:val="20"/>
      <w:szCs w:val="20"/>
    </w:rPr>
  </w:style>
  <w:style w:type="character" w:styleId="FootnoteReference">
    <w:name w:val="footnote reference"/>
    <w:basedOn w:val="DefaultParagraphFont"/>
    <w:uiPriority w:val="99"/>
    <w:unhideWhenUsed/>
    <w:rsid w:val="005E67FD"/>
    <w:rPr>
      <w:vertAlign w:val="superscript"/>
    </w:rPr>
  </w:style>
  <w:style w:type="paragraph" w:styleId="Revision">
    <w:name w:val="Revision"/>
    <w:hidden/>
    <w:uiPriority w:val="99"/>
    <w:semiHidden/>
    <w:rsid w:val="008E48F2"/>
    <w:pPr>
      <w:spacing w:after="0" w:line="240" w:lineRule="auto"/>
    </w:pPr>
  </w:style>
  <w:style w:type="paragraph" w:styleId="Footer">
    <w:name w:val="footer"/>
    <w:basedOn w:val="Normal"/>
    <w:link w:val="FooterChar"/>
    <w:uiPriority w:val="99"/>
    <w:unhideWhenUsed/>
    <w:rsid w:val="003153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5366"/>
  </w:style>
  <w:style w:type="character" w:styleId="PageNumber">
    <w:name w:val="page number"/>
    <w:basedOn w:val="DefaultParagraphFont"/>
    <w:uiPriority w:val="99"/>
    <w:semiHidden/>
    <w:unhideWhenUsed/>
    <w:rsid w:val="00315366"/>
  </w:style>
  <w:style w:type="character" w:styleId="Hyperlink">
    <w:name w:val="Hyperlink"/>
    <w:basedOn w:val="DefaultParagraphFont"/>
    <w:uiPriority w:val="99"/>
    <w:unhideWhenUsed/>
    <w:rsid w:val="00BE5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04">
      <w:bodyDiv w:val="1"/>
      <w:marLeft w:val="0"/>
      <w:marRight w:val="0"/>
      <w:marTop w:val="0"/>
      <w:marBottom w:val="0"/>
      <w:divBdr>
        <w:top w:val="none" w:sz="0" w:space="0" w:color="auto"/>
        <w:left w:val="none" w:sz="0" w:space="0" w:color="auto"/>
        <w:bottom w:val="none" w:sz="0" w:space="0" w:color="auto"/>
        <w:right w:val="none" w:sz="0" w:space="0" w:color="auto"/>
      </w:divBdr>
    </w:div>
    <w:div w:id="272521490">
      <w:bodyDiv w:val="1"/>
      <w:marLeft w:val="0"/>
      <w:marRight w:val="0"/>
      <w:marTop w:val="0"/>
      <w:marBottom w:val="0"/>
      <w:divBdr>
        <w:top w:val="none" w:sz="0" w:space="0" w:color="auto"/>
        <w:left w:val="none" w:sz="0" w:space="0" w:color="auto"/>
        <w:bottom w:val="none" w:sz="0" w:space="0" w:color="auto"/>
        <w:right w:val="none" w:sz="0" w:space="0" w:color="auto"/>
      </w:divBdr>
    </w:div>
    <w:div w:id="316539470">
      <w:bodyDiv w:val="1"/>
      <w:marLeft w:val="0"/>
      <w:marRight w:val="0"/>
      <w:marTop w:val="0"/>
      <w:marBottom w:val="0"/>
      <w:divBdr>
        <w:top w:val="none" w:sz="0" w:space="0" w:color="auto"/>
        <w:left w:val="none" w:sz="0" w:space="0" w:color="auto"/>
        <w:bottom w:val="none" w:sz="0" w:space="0" w:color="auto"/>
        <w:right w:val="none" w:sz="0" w:space="0" w:color="auto"/>
      </w:divBdr>
    </w:div>
    <w:div w:id="604650651">
      <w:bodyDiv w:val="1"/>
      <w:marLeft w:val="0"/>
      <w:marRight w:val="0"/>
      <w:marTop w:val="0"/>
      <w:marBottom w:val="0"/>
      <w:divBdr>
        <w:top w:val="none" w:sz="0" w:space="0" w:color="auto"/>
        <w:left w:val="none" w:sz="0" w:space="0" w:color="auto"/>
        <w:bottom w:val="none" w:sz="0" w:space="0" w:color="auto"/>
        <w:right w:val="none" w:sz="0" w:space="0" w:color="auto"/>
      </w:divBdr>
    </w:div>
    <w:div w:id="716856309">
      <w:bodyDiv w:val="1"/>
      <w:marLeft w:val="0"/>
      <w:marRight w:val="0"/>
      <w:marTop w:val="0"/>
      <w:marBottom w:val="0"/>
      <w:divBdr>
        <w:top w:val="none" w:sz="0" w:space="0" w:color="auto"/>
        <w:left w:val="none" w:sz="0" w:space="0" w:color="auto"/>
        <w:bottom w:val="none" w:sz="0" w:space="0" w:color="auto"/>
        <w:right w:val="none" w:sz="0" w:space="0" w:color="auto"/>
      </w:divBdr>
    </w:div>
    <w:div w:id="981883241">
      <w:bodyDiv w:val="1"/>
      <w:marLeft w:val="0"/>
      <w:marRight w:val="0"/>
      <w:marTop w:val="0"/>
      <w:marBottom w:val="0"/>
      <w:divBdr>
        <w:top w:val="none" w:sz="0" w:space="0" w:color="auto"/>
        <w:left w:val="none" w:sz="0" w:space="0" w:color="auto"/>
        <w:bottom w:val="none" w:sz="0" w:space="0" w:color="auto"/>
        <w:right w:val="none" w:sz="0" w:space="0" w:color="auto"/>
      </w:divBdr>
    </w:div>
    <w:div w:id="1357583025">
      <w:bodyDiv w:val="1"/>
      <w:marLeft w:val="0"/>
      <w:marRight w:val="0"/>
      <w:marTop w:val="0"/>
      <w:marBottom w:val="0"/>
      <w:divBdr>
        <w:top w:val="none" w:sz="0" w:space="0" w:color="auto"/>
        <w:left w:val="none" w:sz="0" w:space="0" w:color="auto"/>
        <w:bottom w:val="none" w:sz="0" w:space="0" w:color="auto"/>
        <w:right w:val="none" w:sz="0" w:space="0" w:color="auto"/>
      </w:divBdr>
    </w:div>
    <w:div w:id="1779450111">
      <w:bodyDiv w:val="1"/>
      <w:marLeft w:val="0"/>
      <w:marRight w:val="0"/>
      <w:marTop w:val="0"/>
      <w:marBottom w:val="0"/>
      <w:divBdr>
        <w:top w:val="none" w:sz="0" w:space="0" w:color="auto"/>
        <w:left w:val="none" w:sz="0" w:space="0" w:color="auto"/>
        <w:bottom w:val="none" w:sz="0" w:space="0" w:color="auto"/>
        <w:right w:val="none" w:sz="0" w:space="0" w:color="auto"/>
      </w:divBdr>
    </w:div>
    <w:div w:id="178095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gnso.icann.org/en/drafts/policy-implementation-recommendations-01jun1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AF5D0-8E58-294B-B26E-61933EBD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1651</Words>
  <Characters>9417</Characters>
  <Application>Microsoft Macintosh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Mary Wong</cp:lastModifiedBy>
  <cp:revision>2</cp:revision>
  <dcterms:created xsi:type="dcterms:W3CDTF">2015-08-11T21:44:00Z</dcterms:created>
  <dcterms:modified xsi:type="dcterms:W3CDTF">2015-08-11T21:44:00Z</dcterms:modified>
</cp:coreProperties>
</file>