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4F" w:rsidRDefault="00F84E4F" w:rsidP="00235D5F">
      <w:pPr>
        <w:spacing w:line="276" w:lineRule="auto"/>
        <w:rPr>
          <w:b/>
        </w:rPr>
      </w:pPr>
      <w:r>
        <w:rPr>
          <w:b/>
        </w:rPr>
        <w:t>I. PROPOSED AMENDMENT/MODIFICATION TO THE CURRENT GNSO POLICY RECOMMENDATIONS RELATING TO RED CROSS</w:t>
      </w:r>
      <w:r w:rsidR="00A92B6F">
        <w:rPr>
          <w:b/>
        </w:rPr>
        <w:t xml:space="preserve"> </w:t>
      </w:r>
      <w:r w:rsidR="008D454D">
        <w:rPr>
          <w:b/>
        </w:rPr>
        <w:t xml:space="preserve">TERMS </w:t>
      </w:r>
      <w:r w:rsidR="00A92B6F">
        <w:rPr>
          <w:b/>
        </w:rPr>
        <w:t>AND IGO ACRONYM</w:t>
      </w:r>
      <w:r w:rsidR="008D454D">
        <w:rPr>
          <w:b/>
        </w:rPr>
        <w:t>S</w:t>
      </w:r>
      <w:bookmarkStart w:id="0" w:name="_GoBack"/>
      <w:bookmarkEnd w:id="0"/>
      <w:r>
        <w:rPr>
          <w:b/>
        </w:rPr>
        <w:t xml:space="preserve"> AT THE SECOND LEVEL</w:t>
      </w:r>
    </w:p>
    <w:p w:rsidR="00F84E4F" w:rsidRDefault="00F84E4F" w:rsidP="00235D5F">
      <w:pPr>
        <w:spacing w:line="276" w:lineRule="auto"/>
        <w:rPr>
          <w:b/>
        </w:rPr>
      </w:pPr>
    </w:p>
    <w:p w:rsidR="00F84E4F" w:rsidRDefault="00FD3989" w:rsidP="00235D5F">
      <w:pPr>
        <w:spacing w:line="276" w:lineRule="auto"/>
      </w:pPr>
      <w:r>
        <w:t>The G</w:t>
      </w:r>
      <w:r w:rsidR="000102C0">
        <w:t>NSO Council proposes to put out</w:t>
      </w:r>
      <w:r>
        <w:t xml:space="preserve"> for public comment</w:t>
      </w:r>
      <w:r w:rsidR="000102C0">
        <w:t>,</w:t>
      </w:r>
      <w:r>
        <w:t xml:space="preserve"> for a minimum of 30 days in accordance with the GNSO’s </w:t>
      </w:r>
      <w:hyperlink r:id="rId8" w:history="1">
        <w:r w:rsidR="00DA5243">
          <w:rPr>
            <w:rStyle w:val="Hyperlink"/>
          </w:rPr>
          <w:t>PDP Manual</w:t>
        </w:r>
      </w:hyperlink>
      <w:r w:rsidR="00DA5243">
        <w:t xml:space="preserve">, </w:t>
      </w:r>
      <w:r>
        <w:t>the following proposed amendment to the IGO-INGO</w:t>
      </w:r>
      <w:r w:rsidR="007631A2">
        <w:t xml:space="preserve"> PDP WG’s </w:t>
      </w:r>
      <w:hyperlink r:id="rId9" w:history="1">
        <w:r w:rsidR="00DA5243">
          <w:rPr>
            <w:rStyle w:val="Hyperlink"/>
          </w:rPr>
          <w:t>November 2013</w:t>
        </w:r>
      </w:hyperlink>
      <w:r w:rsidR="00DA5243">
        <w:t xml:space="preserve"> </w:t>
      </w:r>
      <w:r w:rsidR="007631A2">
        <w:t xml:space="preserve">consensus recommendation on Red Cross </w:t>
      </w:r>
      <w:r w:rsidR="00DA5243">
        <w:t xml:space="preserve">&amp; Red Crescent (RC) </w:t>
      </w:r>
      <w:r w:rsidR="007631A2">
        <w:t xml:space="preserve">Scope 2 </w:t>
      </w:r>
      <w:r w:rsidR="006C5FD7">
        <w:t>identifiers and IGO Scope 2 Acronyms</w:t>
      </w:r>
      <w:r w:rsidR="007631A2">
        <w:t xml:space="preserve"> as f</w:t>
      </w:r>
      <w:r w:rsidR="000102C0">
        <w:t xml:space="preserve">ollows </w:t>
      </w:r>
      <w:r w:rsidR="000102C0" w:rsidRPr="00DA5243">
        <w:rPr>
          <w:i/>
        </w:rPr>
        <w:t>(</w:t>
      </w:r>
      <w:r w:rsidR="00CA310A">
        <w:rPr>
          <w:i/>
        </w:rPr>
        <w:t>see</w:t>
      </w:r>
      <w:r w:rsidR="000102C0" w:rsidRPr="00DA5243">
        <w:rPr>
          <w:i/>
        </w:rPr>
        <w:t xml:space="preserve"> </w:t>
      </w:r>
      <w:r w:rsidRPr="00DA5243">
        <w:rPr>
          <w:i/>
        </w:rPr>
        <w:t>Page 2</w:t>
      </w:r>
      <w:r w:rsidR="00CA310A">
        <w:rPr>
          <w:i/>
        </w:rPr>
        <w:t xml:space="preserve"> for explanation</w:t>
      </w:r>
      <w:r w:rsidRPr="00DA5243">
        <w:rPr>
          <w:i/>
        </w:rPr>
        <w:t>)</w:t>
      </w:r>
      <w:r>
        <w:t xml:space="preserve">. Prior to the initiation of the public comment period, the GNSO Council requests that the reconvened IGO-INGO PDP WG provide its input and feedback on the proposed </w:t>
      </w:r>
      <w:r w:rsidR="000102C0">
        <w:t xml:space="preserve">amendment within </w:t>
      </w:r>
      <w:r w:rsidR="00CA310A">
        <w:t>forty-five (</w:t>
      </w:r>
      <w:r w:rsidR="000102C0">
        <w:t>45</w:t>
      </w:r>
      <w:r w:rsidR="00CA310A">
        <w:t>)</w:t>
      </w:r>
      <w:r w:rsidR="000102C0">
        <w:t xml:space="preserve"> days of the WG’s reconvening.</w:t>
      </w:r>
    </w:p>
    <w:p w:rsidR="000102C0" w:rsidRDefault="000102C0" w:rsidP="00235D5F">
      <w:pPr>
        <w:spacing w:line="276" w:lineRule="auto"/>
      </w:pPr>
    </w:p>
    <w:p w:rsidR="000102C0" w:rsidRDefault="000102C0" w:rsidP="00235D5F">
      <w:pPr>
        <w:spacing w:line="276" w:lineRule="auto"/>
      </w:pPr>
      <w:r>
        <w:t>The proposed amendment is as follows:</w:t>
      </w:r>
    </w:p>
    <w:p w:rsidR="007631A2" w:rsidRDefault="007631A2" w:rsidP="00235D5F">
      <w:pPr>
        <w:spacing w:line="276" w:lineRule="auto"/>
      </w:pPr>
    </w:p>
    <w:p w:rsidR="007631A2" w:rsidRDefault="007631A2" w:rsidP="00235D5F">
      <w:pPr>
        <w:pStyle w:val="ListParagraph"/>
        <w:numPr>
          <w:ilvl w:val="0"/>
          <w:numId w:val="2"/>
        </w:numPr>
        <w:spacing w:line="276" w:lineRule="auto"/>
      </w:pPr>
      <w:r w:rsidRPr="007631A2">
        <w:rPr>
          <w:u w:val="single"/>
        </w:rPr>
        <w:t>For RC Scope 2 identifiers</w:t>
      </w:r>
      <w:r>
        <w:t xml:space="preserve">: instead of 90-days TMCH claims notification protection, the claims notification service will run for the life of the TMCH. This will entail: (1) a notice sent to a potential registrant who attempts to register an Exact Match of the protected RC Scope 2 identifier; </w:t>
      </w:r>
      <w:r w:rsidRPr="000102C0">
        <w:rPr>
          <w:u w:val="single"/>
        </w:rPr>
        <w:t>and</w:t>
      </w:r>
      <w:r>
        <w:t xml:space="preserve"> (2) if the registrant proceeds with the</w:t>
      </w:r>
      <w:r w:rsidR="000102C0">
        <w:t xml:space="preserve"> registration, a notice</w:t>
      </w:r>
      <w:r>
        <w:t xml:space="preserve"> sent to the relevant RC entity informing it of the registration. In addition, </w:t>
      </w:r>
      <w:r w:rsidR="00235D5F">
        <w:t xml:space="preserve">in considering </w:t>
      </w:r>
      <w:r w:rsidR="006C5FD7">
        <w:t xml:space="preserve">any modified or new dispute resolution procedure </w:t>
      </w:r>
      <w:r w:rsidR="00235D5F">
        <w:t xml:space="preserve">for IGOs and INGOs </w:t>
      </w:r>
      <w:r w:rsidR="006C5FD7">
        <w:t xml:space="preserve">the new IGO-INGO Curative Rights Protection WG will be </w:t>
      </w:r>
      <w:r w:rsidR="00235D5F">
        <w:t xml:space="preserve">requested to take into account the GAC request that such a procedure should be </w:t>
      </w:r>
      <w:r w:rsidR="006C5FD7">
        <w:t xml:space="preserve">at low or no cost </w:t>
      </w:r>
      <w:r w:rsidR="00CA310A">
        <w:t>in relation to the specified acronyms of the international Red Cross &amp; Red Crescent movement (ICRC, CICR, IFRC, FICR)</w:t>
      </w:r>
      <w:r w:rsidR="006C5FD7">
        <w:t>.</w:t>
      </w:r>
    </w:p>
    <w:p w:rsidR="006C5FD7" w:rsidRDefault="006C5FD7" w:rsidP="00235D5F">
      <w:pPr>
        <w:spacing w:line="276" w:lineRule="auto"/>
      </w:pPr>
    </w:p>
    <w:p w:rsidR="00E12534" w:rsidRPr="00E12534" w:rsidRDefault="006C5FD7" w:rsidP="00E12534">
      <w:pPr>
        <w:pStyle w:val="ListParagraph"/>
        <w:numPr>
          <w:ilvl w:val="0"/>
          <w:numId w:val="2"/>
        </w:numPr>
        <w:spacing w:line="276" w:lineRule="auto"/>
        <w:rPr>
          <w:b/>
        </w:rPr>
      </w:pPr>
      <w:r w:rsidRPr="006C5FD7">
        <w:rPr>
          <w:u w:val="single"/>
        </w:rPr>
        <w:t>For IGO Scope 2 identifiers</w:t>
      </w:r>
      <w:r>
        <w:t xml:space="preserve">: instead of 90-days TMCH claims notification protection, the claims notification service will run for the life of the TMCH. This will entail: (1) a notice sent to a potential registrant who attempts to register an Exact Match of the protected IGO Scope 2 Acronym; </w:t>
      </w:r>
      <w:r w:rsidRPr="000102C0">
        <w:rPr>
          <w:u w:val="single"/>
        </w:rPr>
        <w:t>and</w:t>
      </w:r>
      <w:r>
        <w:t xml:space="preserve"> (2) if the registrant proceeds wi</w:t>
      </w:r>
      <w:r w:rsidR="000102C0">
        <w:t>th the registration, a notice</w:t>
      </w:r>
      <w:r>
        <w:t xml:space="preserve"> sent to the relevant IGO informing it of the registration. In addition, </w:t>
      </w:r>
      <w:r w:rsidR="00235D5F">
        <w:t xml:space="preserve">in considering </w:t>
      </w:r>
      <w:r>
        <w:t xml:space="preserve">any modified or new dispute resolution procedure </w:t>
      </w:r>
      <w:r w:rsidR="00235D5F">
        <w:t>for IGOs and INGOs</w:t>
      </w:r>
      <w:r>
        <w:t xml:space="preserve"> the new IGO-INGO Curative Rights Protection WG will be </w:t>
      </w:r>
      <w:r w:rsidR="00235D5F">
        <w:t xml:space="preserve">requested to take into account the GAC request that such a procedure should be </w:t>
      </w:r>
      <w:r>
        <w:t xml:space="preserve">at low or no cost to the IGO. Further, in considering any such modified or new dispute resolution procedure the new IGO-INGO Curative Rights Protection WG </w:t>
      </w:r>
      <w:r w:rsidR="00235D5F">
        <w:t>will be requested to consider</w:t>
      </w:r>
      <w:r>
        <w:t xml:space="preserve"> </w:t>
      </w:r>
      <w:r w:rsidR="00235D5F">
        <w:t xml:space="preserve">modifying certain aspects of the URS to enable its use by IGOs, and the </w:t>
      </w:r>
      <w:r w:rsidR="00235D5F">
        <w:lastRenderedPageBreak/>
        <w:t>development of rules and procedures for an arbitration process to resolve claims of abuse of IGO names and acronyms</w:t>
      </w:r>
      <w:r w:rsidR="00E12534">
        <w:t>.</w:t>
      </w:r>
    </w:p>
    <w:p w:rsidR="00E12534" w:rsidRPr="00E12534" w:rsidRDefault="00E12534" w:rsidP="00E12534">
      <w:pPr>
        <w:spacing w:line="276" w:lineRule="auto"/>
        <w:rPr>
          <w:b/>
        </w:rPr>
      </w:pPr>
    </w:p>
    <w:p w:rsidR="00E12534" w:rsidRDefault="00E12534" w:rsidP="00E12534">
      <w:pPr>
        <w:spacing w:line="276" w:lineRule="auto"/>
        <w:ind w:left="360"/>
        <w:rPr>
          <w:b/>
        </w:rPr>
      </w:pPr>
      <w:r w:rsidRPr="00E12534">
        <w:rPr>
          <w:b/>
        </w:rPr>
        <w:t xml:space="preserve"> </w:t>
      </w:r>
    </w:p>
    <w:p w:rsidR="001D2A8E" w:rsidRPr="00E12534" w:rsidRDefault="00F84E4F" w:rsidP="00E12534">
      <w:pPr>
        <w:spacing w:line="276" w:lineRule="auto"/>
        <w:rPr>
          <w:b/>
        </w:rPr>
      </w:pPr>
      <w:r w:rsidRPr="00E12534">
        <w:rPr>
          <w:b/>
        </w:rPr>
        <w:t>I</w:t>
      </w:r>
      <w:r w:rsidR="00C92D7A" w:rsidRPr="00E12534">
        <w:rPr>
          <w:b/>
        </w:rPr>
        <w:t xml:space="preserve">I. </w:t>
      </w:r>
      <w:r w:rsidR="001D2A8E" w:rsidRPr="00E12534">
        <w:rPr>
          <w:b/>
        </w:rPr>
        <w:t>BACKGROUND INFORMATION: GNS</w:t>
      </w:r>
      <w:r w:rsidR="00235D5F" w:rsidRPr="00E12534">
        <w:rPr>
          <w:b/>
        </w:rPr>
        <w:t>O RECOMMENDATIONS &amp; RESOLUTIONS;</w:t>
      </w:r>
      <w:r w:rsidR="001D2A8E" w:rsidRPr="00E12534">
        <w:rPr>
          <w:b/>
        </w:rPr>
        <w:t xml:space="preserve"> GAC ADVICE</w:t>
      </w:r>
    </w:p>
    <w:p w:rsidR="001D2A8E" w:rsidRDefault="001D2A8E" w:rsidP="00235D5F">
      <w:pPr>
        <w:spacing w:line="276" w:lineRule="auto"/>
        <w:rPr>
          <w:b/>
        </w:rPr>
      </w:pPr>
    </w:p>
    <w:p w:rsidR="000102C0" w:rsidRDefault="000102C0" w:rsidP="00235D5F">
      <w:pPr>
        <w:spacing w:line="276" w:lineRule="auto"/>
        <w:rPr>
          <w:b/>
        </w:rPr>
      </w:pPr>
    </w:p>
    <w:p w:rsidR="000102C0" w:rsidRPr="00C92D7A" w:rsidRDefault="000102C0" w:rsidP="00235D5F">
      <w:pPr>
        <w:spacing w:line="276" w:lineRule="auto"/>
        <w:rPr>
          <w:b/>
        </w:rPr>
      </w:pPr>
      <w:r>
        <w:rPr>
          <w:b/>
        </w:rPr>
        <w:t>1. The Protected RC</w:t>
      </w:r>
      <w:r w:rsidRPr="00C92D7A">
        <w:rPr>
          <w:b/>
        </w:rPr>
        <w:t xml:space="preserve"> Names &amp; Acronyms</w:t>
      </w:r>
      <w:r>
        <w:rPr>
          <w:b/>
        </w:rPr>
        <w:t xml:space="preserve"> and</w:t>
      </w:r>
      <w:r w:rsidRPr="00C92D7A">
        <w:rPr>
          <w:b/>
        </w:rPr>
        <w:t xml:space="preserve"> I</w:t>
      </w:r>
      <w:r>
        <w:rPr>
          <w:b/>
        </w:rPr>
        <w:t>GO</w:t>
      </w:r>
      <w:r w:rsidRPr="00C92D7A">
        <w:rPr>
          <w:b/>
        </w:rPr>
        <w:t xml:space="preserve"> Acronyms</w:t>
      </w:r>
    </w:p>
    <w:p w:rsidR="000102C0" w:rsidRDefault="000102C0" w:rsidP="00235D5F">
      <w:pPr>
        <w:spacing w:line="276" w:lineRule="auto"/>
      </w:pPr>
    </w:p>
    <w:p w:rsidR="000102C0" w:rsidRPr="00C92D7A" w:rsidRDefault="000102C0" w:rsidP="00235D5F">
      <w:pPr>
        <w:widowControl w:val="0"/>
        <w:autoSpaceDE w:val="0"/>
        <w:autoSpaceDN w:val="0"/>
        <w:adjustRightInd w:val="0"/>
        <w:spacing w:after="240" w:line="276" w:lineRule="auto"/>
        <w:rPr>
          <w:rFonts w:cs="Calibri"/>
          <w:i/>
        </w:rPr>
      </w:pPr>
      <w:r>
        <w:rPr>
          <w:rFonts w:cs="Calibri"/>
          <w:i/>
        </w:rPr>
        <w:t>Protect</w:t>
      </w:r>
      <w:r w:rsidR="002E2F44">
        <w:rPr>
          <w:rFonts w:cs="Calibri"/>
          <w:i/>
        </w:rPr>
        <w:t>ed</w:t>
      </w:r>
      <w:r>
        <w:rPr>
          <w:rFonts w:cs="Calibri"/>
          <w:i/>
        </w:rPr>
        <w:t xml:space="preserve"> </w:t>
      </w:r>
      <w:r w:rsidRPr="00C92D7A">
        <w:rPr>
          <w:rFonts w:cs="Calibri"/>
          <w:i/>
        </w:rPr>
        <w:t>RC</w:t>
      </w:r>
      <w:r>
        <w:rPr>
          <w:rFonts w:cs="Calibri"/>
          <w:i/>
        </w:rPr>
        <w:t xml:space="preserve"> Identifiers under the GNSO Recommendation</w:t>
      </w:r>
      <w:r w:rsidR="00235D5F">
        <w:rPr>
          <w:rFonts w:cs="Calibri"/>
          <w:i/>
        </w:rPr>
        <w:t>s</w:t>
      </w:r>
      <w:r w:rsidRPr="00C92D7A">
        <w:rPr>
          <w:rFonts w:cs="Calibri"/>
          <w:i/>
        </w:rPr>
        <w:t xml:space="preserve">: </w:t>
      </w:r>
    </w:p>
    <w:p w:rsidR="000102C0" w:rsidRPr="002E2F44" w:rsidRDefault="000102C0" w:rsidP="002E2F44">
      <w:pPr>
        <w:pStyle w:val="ListParagraph"/>
        <w:widowControl w:val="0"/>
        <w:numPr>
          <w:ilvl w:val="0"/>
          <w:numId w:val="5"/>
        </w:numPr>
        <w:autoSpaceDE w:val="0"/>
        <w:autoSpaceDN w:val="0"/>
        <w:adjustRightInd w:val="0"/>
        <w:spacing w:after="240" w:line="276" w:lineRule="auto"/>
        <w:rPr>
          <w:rFonts w:ascii="Times" w:hAnsi="Times" w:cs="Times"/>
        </w:rPr>
      </w:pPr>
      <w:r w:rsidRPr="002E2F44">
        <w:rPr>
          <w:rFonts w:cs="Calibri"/>
        </w:rPr>
        <w:t xml:space="preserve">189 recognized National Red Cross and Red Crescent Societies; International Committee of the Red Cross; International Federation of Red Cross and Red Crescent Societies; ICRC, CICR, CICV, MKKK, IFRC, FICR </w:t>
      </w:r>
      <w:r w:rsidRPr="002E2F44">
        <w:rPr>
          <w:rFonts w:cs="Calibri"/>
          <w:i/>
        </w:rPr>
        <w:t>(collectively termed “Scope 2” identifiers by the IGO-INGO PDP WG)</w:t>
      </w:r>
      <w:r w:rsidRPr="002E2F44">
        <w:rPr>
          <w:rFonts w:cs="Calibri"/>
        </w:rPr>
        <w:t xml:space="preserve"> </w:t>
      </w:r>
      <w:r w:rsidR="00DA5243" w:rsidRPr="002E2F44">
        <w:rPr>
          <w:rFonts w:cs="Calibri"/>
        </w:rPr>
        <w:t>–</w:t>
      </w:r>
      <w:r w:rsidRPr="002E2F44">
        <w:rPr>
          <w:rFonts w:cs="Calibri"/>
        </w:rPr>
        <w:t xml:space="preserve"> </w:t>
      </w:r>
      <w:r w:rsidR="00DA5243" w:rsidRPr="002E2F44">
        <w:rPr>
          <w:rFonts w:cs="Calibri"/>
        </w:rPr>
        <w:t>for the nationa</w:t>
      </w:r>
      <w:r w:rsidR="002E2F44">
        <w:rPr>
          <w:rFonts w:cs="Calibri"/>
        </w:rPr>
        <w:t>l societies, protection</w:t>
      </w:r>
      <w:r w:rsidR="00DA5243" w:rsidRPr="002E2F44">
        <w:rPr>
          <w:rFonts w:cs="Calibri"/>
        </w:rPr>
        <w:t xml:space="preserve"> </w:t>
      </w:r>
      <w:r w:rsidRPr="002E2F44">
        <w:rPr>
          <w:rFonts w:cs="Calibri"/>
        </w:rPr>
        <w:t xml:space="preserve">in English as well as in their respective national languages; </w:t>
      </w:r>
      <w:r w:rsidR="00DA5243" w:rsidRPr="002E2F44">
        <w:rPr>
          <w:rFonts w:cs="Calibri"/>
        </w:rPr>
        <w:t xml:space="preserve">for </w:t>
      </w:r>
      <w:r w:rsidRPr="002E2F44">
        <w:rPr>
          <w:rFonts w:cs="Calibri"/>
        </w:rPr>
        <w:t>ICRC &amp; IFRC</w:t>
      </w:r>
      <w:r w:rsidR="00DA5243" w:rsidRPr="002E2F44">
        <w:rPr>
          <w:rFonts w:cs="Calibri"/>
        </w:rPr>
        <w:t>,</w:t>
      </w:r>
      <w:r w:rsidRPr="002E2F44">
        <w:rPr>
          <w:rFonts w:cs="Calibri"/>
        </w:rPr>
        <w:t xml:space="preserve"> protect</w:t>
      </w:r>
      <w:r w:rsidR="00DA5243" w:rsidRPr="002E2F44">
        <w:rPr>
          <w:rFonts w:cs="Calibri"/>
        </w:rPr>
        <w:t>ion</w:t>
      </w:r>
      <w:r w:rsidRPr="002E2F44">
        <w:rPr>
          <w:rFonts w:cs="Calibri"/>
        </w:rPr>
        <w:t xml:space="preserve"> in </w:t>
      </w:r>
      <w:r w:rsidR="00DA5243" w:rsidRPr="002E2F44">
        <w:rPr>
          <w:rFonts w:cs="Calibri"/>
        </w:rPr>
        <w:t>the six (6) United Nations languages</w:t>
      </w:r>
    </w:p>
    <w:p w:rsidR="000102C0" w:rsidRPr="0049124F" w:rsidRDefault="000102C0" w:rsidP="00235D5F">
      <w:pPr>
        <w:widowControl w:val="0"/>
        <w:autoSpaceDE w:val="0"/>
        <w:autoSpaceDN w:val="0"/>
        <w:adjustRightInd w:val="0"/>
        <w:spacing w:after="240" w:line="276" w:lineRule="auto"/>
        <w:rPr>
          <w:rFonts w:cs="Times"/>
          <w:i/>
        </w:rPr>
      </w:pPr>
      <w:r w:rsidRPr="0049124F">
        <w:rPr>
          <w:rFonts w:cs="Times"/>
          <w:i/>
        </w:rPr>
        <w:t>Protect</w:t>
      </w:r>
      <w:r w:rsidR="002E2F44">
        <w:rPr>
          <w:rFonts w:cs="Times"/>
          <w:i/>
        </w:rPr>
        <w:t>ed</w:t>
      </w:r>
      <w:r w:rsidRPr="0049124F">
        <w:rPr>
          <w:rFonts w:cs="Times"/>
          <w:i/>
        </w:rPr>
        <w:t xml:space="preserve"> RC Identifiers </w:t>
      </w:r>
      <w:r w:rsidR="00235D5F">
        <w:rPr>
          <w:rFonts w:cs="Times"/>
          <w:i/>
        </w:rPr>
        <w:t>requested in</w:t>
      </w:r>
      <w:r w:rsidRPr="0049124F">
        <w:rPr>
          <w:rFonts w:cs="Times"/>
          <w:i/>
        </w:rPr>
        <w:t xml:space="preserve"> GAC</w:t>
      </w:r>
      <w:r>
        <w:rPr>
          <w:rFonts w:cs="Times"/>
          <w:i/>
        </w:rPr>
        <w:t xml:space="preserve"> Advice</w:t>
      </w:r>
      <w:r w:rsidRPr="0049124F">
        <w:rPr>
          <w:rFonts w:cs="Times"/>
          <w:i/>
        </w:rPr>
        <w:t>:</w:t>
      </w:r>
    </w:p>
    <w:p w:rsidR="002E2F44" w:rsidRPr="002E2F44" w:rsidRDefault="000102C0" w:rsidP="002E2F44">
      <w:pPr>
        <w:pStyle w:val="ListParagraph"/>
        <w:widowControl w:val="0"/>
        <w:numPr>
          <w:ilvl w:val="0"/>
          <w:numId w:val="4"/>
        </w:numPr>
        <w:tabs>
          <w:tab w:val="left" w:pos="220"/>
          <w:tab w:val="left" w:pos="720"/>
        </w:tabs>
        <w:autoSpaceDE w:val="0"/>
        <w:autoSpaceDN w:val="0"/>
        <w:adjustRightInd w:val="0"/>
        <w:spacing w:after="320" w:line="276" w:lineRule="auto"/>
        <w:rPr>
          <w:rFonts w:cs="Calibri"/>
        </w:rPr>
      </w:pPr>
      <w:r w:rsidRPr="002E2F44">
        <w:rPr>
          <w:rFonts w:cs="Calibri"/>
        </w:rPr>
        <w:t>189 National Red Cross and Red Crescent Societies, in English and the official languages of th</w:t>
      </w:r>
      <w:r w:rsidR="002E2F44" w:rsidRPr="002E2F44">
        <w:rPr>
          <w:rFonts w:cs="Calibri"/>
        </w:rPr>
        <w:t>eir respective states of origin,</w:t>
      </w:r>
      <w:r w:rsidRPr="002E2F44">
        <w:rPr>
          <w:rFonts w:cs="Calibri"/>
        </w:rPr>
        <w:t xml:space="preserve"> and the full names of the International Committee of the Red Cross and International Federation of the Red Cross and Red Crescent Societies in the si</w:t>
      </w:r>
      <w:r w:rsidR="00DA5243" w:rsidRPr="002E2F44">
        <w:rPr>
          <w:rFonts w:cs="Calibri"/>
        </w:rPr>
        <w:t>x (6) United Nations languages</w:t>
      </w:r>
      <w:r w:rsidR="002E2F44">
        <w:rPr>
          <w:rFonts w:cs="Calibri"/>
        </w:rPr>
        <w:t xml:space="preserve"> – permanent protection</w:t>
      </w:r>
    </w:p>
    <w:p w:rsidR="000102C0" w:rsidRPr="002E2F44" w:rsidRDefault="002E2F44" w:rsidP="002E2F44">
      <w:pPr>
        <w:pStyle w:val="ListParagraph"/>
        <w:widowControl w:val="0"/>
        <w:numPr>
          <w:ilvl w:val="0"/>
          <w:numId w:val="4"/>
        </w:numPr>
        <w:tabs>
          <w:tab w:val="left" w:pos="220"/>
          <w:tab w:val="left" w:pos="720"/>
        </w:tabs>
        <w:autoSpaceDE w:val="0"/>
        <w:autoSpaceDN w:val="0"/>
        <w:adjustRightInd w:val="0"/>
        <w:spacing w:after="320" w:line="276" w:lineRule="auto"/>
        <w:rPr>
          <w:rFonts w:cs="Calibri"/>
        </w:rPr>
      </w:pPr>
      <w:r>
        <w:rPr>
          <w:rFonts w:cs="Calibri"/>
        </w:rPr>
        <w:t>I</w:t>
      </w:r>
      <w:r w:rsidRPr="002E2F44">
        <w:rPr>
          <w:rFonts w:cs="Calibri"/>
        </w:rPr>
        <w:t>nternational RC acronyms (ICRC, CICR, IFRC, FICR)</w:t>
      </w:r>
      <w:r>
        <w:rPr>
          <w:rFonts w:cs="Calibri"/>
        </w:rPr>
        <w:t xml:space="preserve"> – cost-neutral as for IGOs (see further below)</w:t>
      </w:r>
    </w:p>
    <w:p w:rsidR="000102C0" w:rsidRPr="00C92D7A" w:rsidRDefault="002E2F44" w:rsidP="00235D5F">
      <w:pPr>
        <w:widowControl w:val="0"/>
        <w:autoSpaceDE w:val="0"/>
        <w:autoSpaceDN w:val="0"/>
        <w:adjustRightInd w:val="0"/>
        <w:spacing w:after="240" w:line="276" w:lineRule="auto"/>
        <w:rPr>
          <w:rFonts w:cs="Calibri"/>
          <w:i/>
        </w:rPr>
      </w:pPr>
      <w:r>
        <w:rPr>
          <w:rFonts w:cs="Calibri"/>
          <w:i/>
        </w:rPr>
        <w:t>Protected</w:t>
      </w:r>
      <w:r w:rsidR="000102C0" w:rsidRPr="00C92D7A">
        <w:rPr>
          <w:rFonts w:cs="Calibri"/>
          <w:i/>
        </w:rPr>
        <w:t xml:space="preserve"> IGO</w:t>
      </w:r>
      <w:r w:rsidR="000102C0">
        <w:rPr>
          <w:rFonts w:cs="Calibri"/>
          <w:i/>
        </w:rPr>
        <w:t xml:space="preserve"> Acronyms</w:t>
      </w:r>
      <w:r>
        <w:rPr>
          <w:rFonts w:cs="Calibri"/>
          <w:i/>
        </w:rPr>
        <w:t xml:space="preserve"> under the GNSO Recommendations</w:t>
      </w:r>
      <w:r w:rsidR="000102C0" w:rsidRPr="00C92D7A">
        <w:rPr>
          <w:rFonts w:cs="Calibri"/>
          <w:i/>
        </w:rPr>
        <w:t>:</w:t>
      </w:r>
    </w:p>
    <w:p w:rsidR="000102C0" w:rsidRPr="002E2F44" w:rsidRDefault="002E2F44" w:rsidP="002E2F44">
      <w:pPr>
        <w:pStyle w:val="ListParagraph"/>
        <w:numPr>
          <w:ilvl w:val="0"/>
          <w:numId w:val="6"/>
        </w:numPr>
        <w:spacing w:line="276" w:lineRule="auto"/>
        <w:rPr>
          <w:b/>
        </w:rPr>
      </w:pPr>
      <w:r>
        <w:rPr>
          <w:rFonts w:cs="Calibri"/>
        </w:rPr>
        <w:t>A</w:t>
      </w:r>
      <w:r w:rsidR="000102C0" w:rsidRPr="002E2F44">
        <w:rPr>
          <w:rFonts w:cs="Calibri"/>
        </w:rPr>
        <w:t xml:space="preserve">cronyms </w:t>
      </w:r>
      <w:r w:rsidRPr="002E2F44">
        <w:rPr>
          <w:rFonts w:cs="Calibri"/>
        </w:rPr>
        <w:t>of</w:t>
      </w:r>
      <w:r w:rsidR="000102C0" w:rsidRPr="002E2F44">
        <w:rPr>
          <w:rFonts w:cs="Calibri"/>
        </w:rPr>
        <w:t xml:space="preserve"> those IGOs on the GAC list </w:t>
      </w:r>
      <w:r>
        <w:rPr>
          <w:rFonts w:cs="Calibri"/>
        </w:rPr>
        <w:t>of</w:t>
      </w:r>
      <w:r w:rsidR="000102C0" w:rsidRPr="002E2F44">
        <w:rPr>
          <w:rFonts w:cs="Calibri"/>
        </w:rPr>
        <w:t xml:space="preserve"> 22 March 2013: see </w:t>
      </w:r>
      <w:hyperlink r:id="rId10" w:history="1">
        <w:r w:rsidR="000102C0" w:rsidRPr="002E2F44">
          <w:rPr>
            <w:rStyle w:val="Hyperlink"/>
            <w:rFonts w:cs="Calibri"/>
          </w:rPr>
          <w:t>http://www.icann.org/en/news/correspondence/dryden-to-crocker- chalaby-annex2-22mar13-en.pdf</w:t>
        </w:r>
      </w:hyperlink>
      <w:r w:rsidR="000102C0" w:rsidRPr="002E2F44">
        <w:rPr>
          <w:rFonts w:cs="Calibri"/>
          <w:color w:val="0000FF"/>
        </w:rPr>
        <w:t xml:space="preserve"> </w:t>
      </w:r>
      <w:r w:rsidR="000102C0" w:rsidRPr="0057543B">
        <w:rPr>
          <w:rFonts w:cs="Calibri"/>
          <w:i/>
        </w:rPr>
        <w:t>(collectively termed “Scope 2” identifiers by the IGO-INGO PDP WG)</w:t>
      </w:r>
    </w:p>
    <w:p w:rsidR="000102C0" w:rsidRPr="002E2F44" w:rsidRDefault="000102C0" w:rsidP="00235D5F">
      <w:pPr>
        <w:spacing w:line="276" w:lineRule="auto"/>
        <w:rPr>
          <w:i/>
        </w:rPr>
      </w:pPr>
    </w:p>
    <w:p w:rsidR="002E2F44" w:rsidRDefault="002E2F44" w:rsidP="00235D5F">
      <w:pPr>
        <w:spacing w:line="276" w:lineRule="auto"/>
        <w:rPr>
          <w:i/>
        </w:rPr>
      </w:pPr>
      <w:r w:rsidRPr="002E2F44">
        <w:rPr>
          <w:i/>
        </w:rPr>
        <w:t>Protect</w:t>
      </w:r>
      <w:r>
        <w:rPr>
          <w:i/>
        </w:rPr>
        <w:t>ed</w:t>
      </w:r>
      <w:r w:rsidRPr="002E2F44">
        <w:rPr>
          <w:i/>
        </w:rPr>
        <w:t xml:space="preserve"> IGO Acronyms requested in GAC Advice:</w:t>
      </w:r>
    </w:p>
    <w:p w:rsidR="002E2F44" w:rsidRDefault="002E2F44" w:rsidP="00235D5F">
      <w:pPr>
        <w:spacing w:line="276" w:lineRule="auto"/>
        <w:rPr>
          <w:i/>
        </w:rPr>
      </w:pPr>
    </w:p>
    <w:p w:rsidR="002E2F44" w:rsidRPr="002E2F44" w:rsidRDefault="002E2F44" w:rsidP="002E2F44">
      <w:pPr>
        <w:pStyle w:val="ListParagraph"/>
        <w:numPr>
          <w:ilvl w:val="0"/>
          <w:numId w:val="6"/>
        </w:numPr>
        <w:spacing w:line="276" w:lineRule="auto"/>
      </w:pPr>
      <w:r>
        <w:t>List of acronyms provided to ICANN on 22 March 2013</w:t>
      </w:r>
    </w:p>
    <w:p w:rsidR="000102C0" w:rsidRDefault="000102C0" w:rsidP="00235D5F">
      <w:pPr>
        <w:spacing w:line="276" w:lineRule="auto"/>
        <w:rPr>
          <w:b/>
        </w:rPr>
      </w:pPr>
    </w:p>
    <w:p w:rsidR="00CA310A" w:rsidRDefault="00CA310A" w:rsidP="00235D5F">
      <w:pPr>
        <w:spacing w:line="276" w:lineRule="auto"/>
        <w:rPr>
          <w:b/>
        </w:rPr>
      </w:pPr>
    </w:p>
    <w:p w:rsidR="00CA310A" w:rsidRDefault="00CA310A" w:rsidP="00235D5F">
      <w:pPr>
        <w:spacing w:line="276" w:lineRule="auto"/>
        <w:rPr>
          <w:b/>
        </w:rPr>
        <w:sectPr w:rsidR="00CA310A" w:rsidSect="00D16ED3">
          <w:footerReference w:type="default" r:id="rId11"/>
          <w:pgSz w:w="12240" w:h="15840"/>
          <w:pgMar w:top="1440" w:right="1800" w:bottom="1440" w:left="1800" w:header="720" w:footer="720" w:gutter="0"/>
          <w:cols w:space="720"/>
          <w:docGrid w:linePitch="360"/>
        </w:sectPr>
      </w:pPr>
    </w:p>
    <w:p w:rsidR="00E06902" w:rsidRPr="00C92D7A" w:rsidRDefault="000102C0" w:rsidP="00235D5F">
      <w:pPr>
        <w:spacing w:line="276" w:lineRule="auto"/>
        <w:rPr>
          <w:b/>
        </w:rPr>
      </w:pPr>
      <w:r>
        <w:rPr>
          <w:b/>
        </w:rPr>
        <w:lastRenderedPageBreak/>
        <w:t>2</w:t>
      </w:r>
      <w:r w:rsidR="001D2A8E">
        <w:rPr>
          <w:b/>
        </w:rPr>
        <w:t xml:space="preserve">. </w:t>
      </w:r>
      <w:r w:rsidR="00F32591">
        <w:rPr>
          <w:b/>
        </w:rPr>
        <w:t>Current GNSO</w:t>
      </w:r>
      <w:r w:rsidR="001D2A8E" w:rsidRPr="00C92D7A">
        <w:rPr>
          <w:b/>
        </w:rPr>
        <w:t xml:space="preserve"> Policy</w:t>
      </w:r>
      <w:r w:rsidR="001D2A8E">
        <w:rPr>
          <w:b/>
        </w:rPr>
        <w:t xml:space="preserve"> Recommendations Relating To </w:t>
      </w:r>
      <w:r w:rsidR="001D2A8E" w:rsidRPr="00C92D7A">
        <w:rPr>
          <w:b/>
        </w:rPr>
        <w:t xml:space="preserve">Red Cross </w:t>
      </w:r>
      <w:r w:rsidR="00A92B6F">
        <w:rPr>
          <w:b/>
        </w:rPr>
        <w:t xml:space="preserve">And IGO Acronym </w:t>
      </w:r>
      <w:r w:rsidR="001D2A8E">
        <w:rPr>
          <w:b/>
        </w:rPr>
        <w:t>Identifiers At The Second Level</w:t>
      </w:r>
    </w:p>
    <w:p w:rsidR="00C92D7A" w:rsidRDefault="00C92D7A" w:rsidP="00235D5F">
      <w:pPr>
        <w:spacing w:line="276" w:lineRule="auto"/>
      </w:pPr>
    </w:p>
    <w:p w:rsidR="00C92D7A" w:rsidRPr="00C92D7A" w:rsidRDefault="00C92D7A" w:rsidP="00235D5F">
      <w:pPr>
        <w:spacing w:line="276" w:lineRule="auto"/>
        <w:rPr>
          <w:i/>
        </w:rPr>
      </w:pPr>
      <w:r w:rsidRPr="00C92D7A">
        <w:rPr>
          <w:i/>
        </w:rPr>
        <w:t>For the RC</w:t>
      </w:r>
      <w:r w:rsidR="0049124F">
        <w:rPr>
          <w:i/>
        </w:rPr>
        <w:t xml:space="preserve"> (from the GNSO Council resolution of 20 November 2013)</w:t>
      </w:r>
      <w:r w:rsidRPr="00C92D7A">
        <w:rPr>
          <w:i/>
        </w:rPr>
        <w:t>:</w:t>
      </w:r>
    </w:p>
    <w:p w:rsidR="00C92D7A" w:rsidRPr="00C92D7A" w:rsidRDefault="00C92D7A" w:rsidP="00235D5F">
      <w:pPr>
        <w:spacing w:line="276" w:lineRule="auto"/>
      </w:pPr>
    </w:p>
    <w:p w:rsidR="00C92D7A" w:rsidRPr="00C92D7A" w:rsidRDefault="00C92D7A" w:rsidP="00235D5F">
      <w:pPr>
        <w:spacing w:line="276" w:lineRule="auto"/>
        <w:rPr>
          <w:rFonts w:eastAsia="Times New Roman" w:cs="Times New Roman"/>
        </w:rPr>
      </w:pPr>
      <w:r w:rsidRPr="00C92D7A">
        <w:rPr>
          <w:rFonts w:eastAsia="Times New Roman" w:cs="Arial"/>
          <w:b/>
          <w:bCs/>
          <w:shd w:val="clear" w:color="auto" w:fill="FFFFFF"/>
        </w:rPr>
        <w:t>“Full Name and Acronym Scope 2</w:t>
      </w:r>
      <w:r w:rsidRPr="00C92D7A">
        <w:rPr>
          <w:rFonts w:eastAsia="Times New Roman" w:cs="Arial"/>
          <w:shd w:val="clear" w:color="auto" w:fill="FFFFFF"/>
        </w:rPr>
        <w:t> identifiers of the RCRC (as defined in the Final Report) are to be subject to any notification services afforded to rights holders during the launch of a new gTLD.</w:t>
      </w:r>
      <w:r w:rsidRPr="00C92D7A">
        <w:rPr>
          <w:rFonts w:eastAsia="Times New Roman" w:cs="Times New Roman"/>
        </w:rPr>
        <w:t xml:space="preserve"> </w:t>
      </w:r>
      <w:r w:rsidRPr="00C92D7A">
        <w:rPr>
          <w:rFonts w:eastAsia="Times New Roman" w:cs="Arial"/>
          <w:shd w:val="clear" w:color="auto" w:fill="FFFFFF"/>
        </w:rPr>
        <w:t xml:space="preserve">For the current round, the names and acronyms subject to this recommendation are to be added to the Trademark Clearinghouse (TMCH), and the related organizations permitted to participate in the 90-day claims notification process developed </w:t>
      </w:r>
      <w:r w:rsidR="00F32591">
        <w:rPr>
          <w:rFonts w:eastAsia="Times New Roman" w:cs="Arial"/>
          <w:shd w:val="clear" w:color="auto" w:fill="FFFFFF"/>
        </w:rPr>
        <w:t xml:space="preserve">for the New gTLD Program” (see </w:t>
      </w:r>
      <w:hyperlink r:id="rId12" w:anchor="201311" w:history="1">
        <w:r w:rsidRPr="00C92D7A">
          <w:rPr>
            <w:rStyle w:val="Hyperlink"/>
            <w:rFonts w:eastAsia="Times New Roman" w:cs="Arial"/>
            <w:color w:val="auto"/>
            <w:shd w:val="clear" w:color="auto" w:fill="FFFFFF"/>
          </w:rPr>
          <w:t>http://gnso.icann.org/en/council/resolutions#201311</w:t>
        </w:r>
      </w:hyperlink>
      <w:r w:rsidRPr="00C92D7A">
        <w:rPr>
          <w:rFonts w:eastAsia="Times New Roman" w:cs="Arial"/>
          <w:shd w:val="clear" w:color="auto" w:fill="FFFFFF"/>
        </w:rPr>
        <w:t xml:space="preserve">). </w:t>
      </w:r>
    </w:p>
    <w:p w:rsidR="00C92D7A" w:rsidRPr="00C92D7A" w:rsidRDefault="00C92D7A" w:rsidP="00235D5F">
      <w:pPr>
        <w:spacing w:line="276" w:lineRule="auto"/>
      </w:pPr>
    </w:p>
    <w:p w:rsidR="00C92D7A" w:rsidRPr="00C92D7A" w:rsidRDefault="00C92D7A" w:rsidP="00235D5F">
      <w:pPr>
        <w:spacing w:line="276" w:lineRule="auto"/>
        <w:rPr>
          <w:i/>
        </w:rPr>
      </w:pPr>
      <w:r w:rsidRPr="00C92D7A">
        <w:rPr>
          <w:i/>
        </w:rPr>
        <w:t>For IGOs</w:t>
      </w:r>
      <w:r w:rsidR="0049124F">
        <w:rPr>
          <w:i/>
        </w:rPr>
        <w:t xml:space="preserve"> (from the GNSO Council resolution of 20 November 2013)</w:t>
      </w:r>
      <w:r w:rsidRPr="00C92D7A">
        <w:rPr>
          <w:i/>
        </w:rPr>
        <w:t>:</w:t>
      </w:r>
    </w:p>
    <w:p w:rsidR="00C92D7A" w:rsidRPr="00C92D7A" w:rsidRDefault="00C92D7A" w:rsidP="00235D5F">
      <w:pPr>
        <w:spacing w:line="276" w:lineRule="auto"/>
      </w:pPr>
    </w:p>
    <w:p w:rsidR="00C92D7A" w:rsidRDefault="00C92D7A" w:rsidP="00235D5F">
      <w:pPr>
        <w:spacing w:line="276" w:lineRule="auto"/>
        <w:rPr>
          <w:rFonts w:eastAsia="Times New Roman" w:cs="Arial"/>
          <w:shd w:val="clear" w:color="auto" w:fill="FFFFFF"/>
        </w:rPr>
      </w:pPr>
      <w:r w:rsidRPr="00C92D7A">
        <w:rPr>
          <w:rFonts w:eastAsia="Times New Roman" w:cs="Arial"/>
          <w:b/>
          <w:bCs/>
          <w:shd w:val="clear" w:color="auto" w:fill="FFFFFF"/>
        </w:rPr>
        <w:t>“Acronyms</w:t>
      </w:r>
      <w:r w:rsidRPr="00C92D7A">
        <w:rPr>
          <w:rFonts w:eastAsia="Times New Roman" w:cs="Arial"/>
          <w:shd w:val="clear" w:color="auto" w:fill="FFFFFF"/>
        </w:rPr>
        <w:t> of the specified </w:t>
      </w:r>
      <w:r w:rsidRPr="00C92D7A">
        <w:rPr>
          <w:rFonts w:eastAsia="Times New Roman" w:cs="Arial"/>
          <w:b/>
          <w:bCs/>
          <w:shd w:val="clear" w:color="auto" w:fill="FFFFFF"/>
        </w:rPr>
        <w:t>IGOs</w:t>
      </w:r>
      <w:r w:rsidRPr="00C92D7A">
        <w:rPr>
          <w:rFonts w:eastAsia="Times New Roman" w:cs="Arial"/>
          <w:shd w:val="clear" w:color="auto" w:fill="FFFFFF"/>
        </w:rPr>
        <w:t xml:space="preserve"> (as defined in the Final Report) are to be added to the TMCH, and the related organizations permitted to participate in the 90-day claims notification process developed for the New gTLD Program, these identifiers will similarly be subject to any notification services afforded to rights holders during the launch of a new gTLD in future rounds” (see </w:t>
      </w:r>
      <w:hyperlink r:id="rId13" w:anchor="201311" w:history="1">
        <w:r w:rsidRPr="00C92D7A">
          <w:rPr>
            <w:rStyle w:val="Hyperlink"/>
            <w:rFonts w:eastAsia="Times New Roman" w:cs="Arial"/>
            <w:color w:val="auto"/>
            <w:shd w:val="clear" w:color="auto" w:fill="FFFFFF"/>
          </w:rPr>
          <w:t>http://gnso.icann.org/en/council/resolutions#201311</w:t>
        </w:r>
      </w:hyperlink>
      <w:r w:rsidRPr="00C92D7A">
        <w:rPr>
          <w:rFonts w:eastAsia="Times New Roman" w:cs="Arial"/>
          <w:shd w:val="clear" w:color="auto" w:fill="FFFFFF"/>
        </w:rPr>
        <w:t xml:space="preserve">). </w:t>
      </w:r>
    </w:p>
    <w:p w:rsidR="00C92D7A" w:rsidRPr="00C92D7A" w:rsidRDefault="00C92D7A" w:rsidP="00235D5F">
      <w:pPr>
        <w:widowControl w:val="0"/>
        <w:autoSpaceDE w:val="0"/>
        <w:autoSpaceDN w:val="0"/>
        <w:adjustRightInd w:val="0"/>
        <w:spacing w:after="240" w:line="276" w:lineRule="auto"/>
        <w:rPr>
          <w:rFonts w:cs="Times"/>
        </w:rPr>
      </w:pPr>
    </w:p>
    <w:p w:rsidR="00C92D7A" w:rsidRDefault="00C92D7A" w:rsidP="00235D5F">
      <w:pPr>
        <w:spacing w:line="276" w:lineRule="auto"/>
      </w:pPr>
    </w:p>
    <w:p w:rsidR="009A2757" w:rsidRPr="009A2757" w:rsidRDefault="001D2A8E" w:rsidP="00235D5F">
      <w:pPr>
        <w:spacing w:line="276" w:lineRule="auto"/>
        <w:rPr>
          <w:b/>
        </w:rPr>
      </w:pPr>
      <w:r>
        <w:rPr>
          <w:b/>
        </w:rPr>
        <w:t xml:space="preserve">3. </w:t>
      </w:r>
      <w:r w:rsidRPr="009A2757">
        <w:rPr>
          <w:b/>
        </w:rPr>
        <w:t>G</w:t>
      </w:r>
      <w:r>
        <w:rPr>
          <w:b/>
        </w:rPr>
        <w:t>AC</w:t>
      </w:r>
      <w:r w:rsidRPr="009A2757">
        <w:rPr>
          <w:b/>
        </w:rPr>
        <w:t xml:space="preserve"> Advice On </w:t>
      </w:r>
      <w:r>
        <w:rPr>
          <w:b/>
        </w:rPr>
        <w:t>RC</w:t>
      </w:r>
      <w:r w:rsidRPr="009A2757">
        <w:rPr>
          <w:b/>
        </w:rPr>
        <w:t xml:space="preserve"> Names &amp; Acronyms And I</w:t>
      </w:r>
      <w:r>
        <w:rPr>
          <w:b/>
        </w:rPr>
        <w:t>GO</w:t>
      </w:r>
      <w:r w:rsidRPr="009A2757">
        <w:rPr>
          <w:b/>
        </w:rPr>
        <w:t xml:space="preserve"> Acronyms</w:t>
      </w:r>
    </w:p>
    <w:p w:rsidR="009A2757" w:rsidRDefault="009A2757" w:rsidP="00235D5F">
      <w:pPr>
        <w:spacing w:line="276" w:lineRule="auto"/>
      </w:pPr>
    </w:p>
    <w:p w:rsidR="00BD1D8A" w:rsidRDefault="00367D83" w:rsidP="00235D5F">
      <w:pPr>
        <w:spacing w:line="276" w:lineRule="auto"/>
        <w:rPr>
          <w:i/>
        </w:rPr>
      </w:pPr>
      <w:r>
        <w:rPr>
          <w:i/>
        </w:rPr>
        <w:t>(</w:t>
      </w:r>
      <w:proofErr w:type="spellStart"/>
      <w:r>
        <w:rPr>
          <w:i/>
        </w:rPr>
        <w:t>i</w:t>
      </w:r>
      <w:proofErr w:type="spellEnd"/>
      <w:r>
        <w:rPr>
          <w:i/>
        </w:rPr>
        <w:t xml:space="preserve">) </w:t>
      </w:r>
      <w:r w:rsidR="00BD1D8A">
        <w:rPr>
          <w:i/>
        </w:rPr>
        <w:t xml:space="preserve">From the GAC’s </w:t>
      </w:r>
      <w:hyperlink r:id="rId14" w:history="1">
        <w:r w:rsidR="00CA310A">
          <w:rPr>
            <w:rStyle w:val="Hyperlink"/>
            <w:i/>
          </w:rPr>
          <w:t>Durban Communique</w:t>
        </w:r>
      </w:hyperlink>
      <w:r w:rsidR="00CA310A">
        <w:rPr>
          <w:i/>
        </w:rPr>
        <w:t xml:space="preserve"> </w:t>
      </w:r>
      <w:r w:rsidR="00BD1D8A">
        <w:rPr>
          <w:i/>
        </w:rPr>
        <w:t>(July 2013):</w:t>
      </w:r>
    </w:p>
    <w:p w:rsidR="00BD1D8A" w:rsidRDefault="00BD1D8A" w:rsidP="00235D5F">
      <w:pPr>
        <w:spacing w:line="276" w:lineRule="auto"/>
        <w:rPr>
          <w:i/>
        </w:rPr>
      </w:pPr>
    </w:p>
    <w:p w:rsidR="00BD1D8A" w:rsidRDefault="005226AE" w:rsidP="00BD1D8A">
      <w:pPr>
        <w:spacing w:line="276" w:lineRule="auto"/>
      </w:pPr>
      <w:r>
        <w:t>“</w:t>
      </w:r>
      <w:r w:rsidR="00BD1D8A">
        <w:t xml:space="preserve">The GAC is interested to work with the IGOs and the NGPC on a complementary cost-neutral mechanism that would: </w:t>
      </w:r>
    </w:p>
    <w:p w:rsidR="00BD1D8A" w:rsidRDefault="00BD1D8A" w:rsidP="00BD1D8A">
      <w:pPr>
        <w:spacing w:line="276" w:lineRule="auto"/>
      </w:pPr>
    </w:p>
    <w:p w:rsidR="00BD1D8A" w:rsidRDefault="00BD1D8A" w:rsidP="005226AE">
      <w:pPr>
        <w:spacing w:line="276" w:lineRule="auto"/>
        <w:ind w:left="720"/>
      </w:pPr>
      <w:r>
        <w:t xml:space="preserve">a. </w:t>
      </w:r>
      <w:proofErr w:type="gramStart"/>
      <w:r>
        <w:t>provide</w:t>
      </w:r>
      <w:proofErr w:type="gramEnd"/>
      <w:r>
        <w:t xml:space="preserve"> notification to an IGO if a potential registrant seeks to register a domain name matching the acronym of an IGO at the second level, giving the IGO a reasonable opportunity to express concerns, if any; and </w:t>
      </w:r>
    </w:p>
    <w:p w:rsidR="00BD1D8A" w:rsidRDefault="00BD1D8A" w:rsidP="005226AE">
      <w:pPr>
        <w:spacing w:line="276" w:lineRule="auto"/>
        <w:ind w:left="720"/>
      </w:pPr>
    </w:p>
    <w:p w:rsidR="00BD1D8A" w:rsidRDefault="00BD1D8A" w:rsidP="005226AE">
      <w:pPr>
        <w:spacing w:line="276" w:lineRule="auto"/>
        <w:ind w:left="720"/>
      </w:pPr>
      <w:r>
        <w:t xml:space="preserve">b. </w:t>
      </w:r>
      <w:proofErr w:type="gramStart"/>
      <w:r>
        <w:t>allow</w:t>
      </w:r>
      <w:proofErr w:type="gramEnd"/>
      <w:r>
        <w:t xml:space="preserve"> for an independent third party to review any such registration request, in the event of a disagreement between an IGO and potential registrant</w:t>
      </w:r>
    </w:p>
    <w:p w:rsidR="00BD1D8A" w:rsidRDefault="00BD1D8A" w:rsidP="00BD1D8A">
      <w:pPr>
        <w:spacing w:line="276" w:lineRule="auto"/>
      </w:pPr>
    </w:p>
    <w:p w:rsidR="00BD1D8A" w:rsidRPr="00BD1D8A" w:rsidRDefault="00BD1D8A" w:rsidP="00BD1D8A">
      <w:pPr>
        <w:spacing w:line="276" w:lineRule="auto"/>
      </w:pPr>
      <w:r>
        <w:lastRenderedPageBreak/>
        <w:t xml:space="preserve">The same complementary cost neutral mechanisms to be worked out </w:t>
      </w:r>
      <w:r w:rsidR="005226AE">
        <w:t>…</w:t>
      </w:r>
      <w:r>
        <w:t xml:space="preserve"> for the protection of acronyms of IGOs be used to also protect the acronyms of the International Committee of the Red Cross (ICRC/CICR) and the International Federation of Red Cross and Red Crescent Societies (IFR</w:t>
      </w:r>
      <w:r w:rsidR="005226AE">
        <w:t>C/FICR).”</w:t>
      </w:r>
    </w:p>
    <w:p w:rsidR="00BD1D8A" w:rsidRDefault="00BD1D8A" w:rsidP="00235D5F">
      <w:pPr>
        <w:spacing w:line="276" w:lineRule="auto"/>
        <w:rPr>
          <w:i/>
        </w:rPr>
      </w:pPr>
    </w:p>
    <w:p w:rsidR="007A2AD8" w:rsidRPr="007A2AD8" w:rsidRDefault="00367D83" w:rsidP="00235D5F">
      <w:pPr>
        <w:spacing w:line="276" w:lineRule="auto"/>
        <w:rPr>
          <w:i/>
        </w:rPr>
      </w:pPr>
      <w:r>
        <w:rPr>
          <w:i/>
        </w:rPr>
        <w:t xml:space="preserve">(ii) </w:t>
      </w:r>
      <w:r w:rsidR="007A2AD8" w:rsidRPr="007A2AD8">
        <w:rPr>
          <w:i/>
        </w:rPr>
        <w:t>From the</w:t>
      </w:r>
      <w:r>
        <w:rPr>
          <w:i/>
        </w:rPr>
        <w:t xml:space="preserve"> GAC’s</w:t>
      </w:r>
      <w:r w:rsidR="007A2AD8" w:rsidRPr="007A2AD8">
        <w:rPr>
          <w:i/>
        </w:rPr>
        <w:t xml:space="preserve"> </w:t>
      </w:r>
      <w:hyperlink r:id="rId15" w:history="1">
        <w:r w:rsidR="00CA310A">
          <w:rPr>
            <w:rStyle w:val="Hyperlink"/>
            <w:i/>
          </w:rPr>
          <w:t>Buenos Aires Communique</w:t>
        </w:r>
      </w:hyperlink>
      <w:r w:rsidR="00CA310A">
        <w:rPr>
          <w:i/>
        </w:rPr>
        <w:t xml:space="preserve"> </w:t>
      </w:r>
      <w:r w:rsidR="007A2AD8" w:rsidRPr="007A2AD8">
        <w:rPr>
          <w:i/>
        </w:rPr>
        <w:t>(November 2013):</w:t>
      </w:r>
    </w:p>
    <w:p w:rsidR="007A2AD8" w:rsidRDefault="007A2AD8" w:rsidP="00235D5F">
      <w:pPr>
        <w:spacing w:line="276" w:lineRule="auto"/>
      </w:pPr>
    </w:p>
    <w:p w:rsidR="007A2AD8" w:rsidRPr="007A2AD8" w:rsidRDefault="007A2AD8" w:rsidP="00235D5F">
      <w:pPr>
        <w:widowControl w:val="0"/>
        <w:autoSpaceDE w:val="0"/>
        <w:autoSpaceDN w:val="0"/>
        <w:adjustRightInd w:val="0"/>
        <w:spacing w:after="240" w:line="276" w:lineRule="auto"/>
        <w:rPr>
          <w:rFonts w:cs="Times"/>
        </w:rPr>
      </w:pPr>
      <w:r w:rsidRPr="007A2AD8">
        <w:t>“</w:t>
      </w:r>
      <w:r w:rsidRPr="007A2AD8">
        <w:rPr>
          <w:rFonts w:cs="Calibri"/>
        </w:rPr>
        <w:t xml:space="preserve">The GAC, together with IGOs, remains committed to continuing the dialogue with NGPC on </w:t>
      </w:r>
      <w:proofErr w:type="spellStart"/>
      <w:r w:rsidRPr="007A2AD8">
        <w:rPr>
          <w:rFonts w:cs="Calibri"/>
        </w:rPr>
        <w:t>finalising</w:t>
      </w:r>
      <w:proofErr w:type="spellEnd"/>
      <w:r w:rsidRPr="007A2AD8">
        <w:rPr>
          <w:rFonts w:cs="Calibri"/>
        </w:rPr>
        <w:t xml:space="preserve"> the modalities for permanent protection of IGO acronyms at the second level, by putting in place a mechanism which would:</w:t>
      </w:r>
    </w:p>
    <w:p w:rsidR="007A2AD8" w:rsidRDefault="007A2AD8" w:rsidP="00235D5F">
      <w:pPr>
        <w:widowControl w:val="0"/>
        <w:numPr>
          <w:ilvl w:val="0"/>
          <w:numId w:val="1"/>
        </w:numPr>
        <w:tabs>
          <w:tab w:val="left" w:pos="220"/>
          <w:tab w:val="left" w:pos="720"/>
        </w:tabs>
        <w:autoSpaceDE w:val="0"/>
        <w:autoSpaceDN w:val="0"/>
        <w:adjustRightInd w:val="0"/>
        <w:spacing w:after="320" w:line="276" w:lineRule="auto"/>
        <w:ind w:hanging="720"/>
        <w:rPr>
          <w:rFonts w:cs="Calibri"/>
        </w:rPr>
      </w:pPr>
      <w:proofErr w:type="gramStart"/>
      <w:r w:rsidRPr="007A2AD8">
        <w:rPr>
          <w:rFonts w:cs="Calibri"/>
        </w:rPr>
        <w:t>provide</w:t>
      </w:r>
      <w:proofErr w:type="gramEnd"/>
      <w:r w:rsidRPr="007A2AD8">
        <w:rPr>
          <w:rFonts w:cs="Calibri"/>
        </w:rPr>
        <w:t xml:space="preserve"> for a permanent system of notifications to both the potential registrant and the relevant IGO as to a possible conflict if a potential registrant seeks to register a domain name matching the acronym of that IGO; </w:t>
      </w:r>
    </w:p>
    <w:p w:rsidR="007A2AD8" w:rsidRDefault="007A2AD8" w:rsidP="00235D5F">
      <w:pPr>
        <w:widowControl w:val="0"/>
        <w:numPr>
          <w:ilvl w:val="0"/>
          <w:numId w:val="1"/>
        </w:numPr>
        <w:tabs>
          <w:tab w:val="left" w:pos="220"/>
          <w:tab w:val="left" w:pos="720"/>
        </w:tabs>
        <w:autoSpaceDE w:val="0"/>
        <w:autoSpaceDN w:val="0"/>
        <w:adjustRightInd w:val="0"/>
        <w:spacing w:after="320" w:line="276" w:lineRule="auto"/>
        <w:ind w:hanging="720"/>
        <w:rPr>
          <w:rFonts w:cs="Calibri"/>
        </w:rPr>
      </w:pPr>
      <w:proofErr w:type="gramStart"/>
      <w:r w:rsidRPr="007A2AD8">
        <w:rPr>
          <w:rFonts w:cs="Calibri"/>
        </w:rPr>
        <w:t>allow</w:t>
      </w:r>
      <w:proofErr w:type="gramEnd"/>
      <w:r w:rsidRPr="007A2AD8">
        <w:rPr>
          <w:rFonts w:cs="Calibri"/>
        </w:rPr>
        <w:t xml:space="preserve"> the IGO a timely opportunity to effectively prevent potential misuse and confusion; </w:t>
      </w:r>
    </w:p>
    <w:p w:rsidR="007A2AD8" w:rsidRPr="007A2AD8" w:rsidRDefault="007A2AD8" w:rsidP="00235D5F">
      <w:pPr>
        <w:widowControl w:val="0"/>
        <w:numPr>
          <w:ilvl w:val="0"/>
          <w:numId w:val="1"/>
        </w:numPr>
        <w:tabs>
          <w:tab w:val="left" w:pos="220"/>
          <w:tab w:val="left" w:pos="720"/>
        </w:tabs>
        <w:autoSpaceDE w:val="0"/>
        <w:autoSpaceDN w:val="0"/>
        <w:adjustRightInd w:val="0"/>
        <w:spacing w:after="320" w:line="276" w:lineRule="auto"/>
        <w:ind w:hanging="720"/>
        <w:rPr>
          <w:rFonts w:cs="Calibri"/>
        </w:rPr>
      </w:pPr>
      <w:proofErr w:type="gramStart"/>
      <w:r w:rsidRPr="007A2AD8">
        <w:rPr>
          <w:rFonts w:cs="Calibri"/>
        </w:rPr>
        <w:t>allow</w:t>
      </w:r>
      <w:proofErr w:type="gramEnd"/>
      <w:r w:rsidRPr="007A2AD8">
        <w:rPr>
          <w:rFonts w:cs="Calibri"/>
        </w:rPr>
        <w:t xml:space="preserve"> for a final and binding determination by</w:t>
      </w:r>
      <w:r w:rsidR="00A92B6F">
        <w:rPr>
          <w:rFonts w:cs="Calibri"/>
        </w:rPr>
        <w:t xml:space="preserve"> </w:t>
      </w:r>
      <w:r w:rsidRPr="007A2AD8">
        <w:rPr>
          <w:rFonts w:cs="Calibri"/>
        </w:rPr>
        <w:t>an independent third party in order to resolve any disagreement between an IGO and a potential registrant; and</w:t>
      </w:r>
    </w:p>
    <w:p w:rsidR="007A2AD8" w:rsidRDefault="007A2AD8" w:rsidP="00235D5F">
      <w:pPr>
        <w:pStyle w:val="ListParagraph"/>
        <w:widowControl w:val="0"/>
        <w:numPr>
          <w:ilvl w:val="0"/>
          <w:numId w:val="1"/>
        </w:numPr>
        <w:tabs>
          <w:tab w:val="left" w:pos="220"/>
          <w:tab w:val="left" w:pos="720"/>
        </w:tabs>
        <w:autoSpaceDE w:val="0"/>
        <w:autoSpaceDN w:val="0"/>
        <w:adjustRightInd w:val="0"/>
        <w:spacing w:after="320" w:line="276" w:lineRule="auto"/>
        <w:ind w:hanging="720"/>
        <w:rPr>
          <w:rFonts w:cs="Calibri"/>
        </w:rPr>
      </w:pPr>
      <w:proofErr w:type="gramStart"/>
      <w:r w:rsidRPr="007A2AD8">
        <w:rPr>
          <w:rFonts w:cs="Calibri"/>
        </w:rPr>
        <w:t>be</w:t>
      </w:r>
      <w:proofErr w:type="gramEnd"/>
      <w:r w:rsidRPr="007A2AD8">
        <w:rPr>
          <w:rFonts w:cs="Calibri"/>
        </w:rPr>
        <w:t xml:space="preserve"> at no cost or of </w:t>
      </w:r>
      <w:r>
        <w:rPr>
          <w:rFonts w:cs="Calibri"/>
        </w:rPr>
        <w:t>a nominal cost only to the IGO.”</w:t>
      </w:r>
    </w:p>
    <w:p w:rsidR="00235D5F" w:rsidRPr="00235D5F" w:rsidRDefault="00367D83" w:rsidP="00235D5F">
      <w:pPr>
        <w:widowControl w:val="0"/>
        <w:tabs>
          <w:tab w:val="left" w:pos="220"/>
          <w:tab w:val="left" w:pos="720"/>
        </w:tabs>
        <w:autoSpaceDE w:val="0"/>
        <w:autoSpaceDN w:val="0"/>
        <w:adjustRightInd w:val="0"/>
        <w:spacing w:after="320" w:line="276" w:lineRule="auto"/>
        <w:rPr>
          <w:rFonts w:cs="Calibri"/>
          <w:i/>
        </w:rPr>
      </w:pPr>
      <w:r>
        <w:rPr>
          <w:rFonts w:cs="Calibri"/>
          <w:i/>
        </w:rPr>
        <w:t xml:space="preserve">(iii) </w:t>
      </w:r>
      <w:r w:rsidR="00235D5F" w:rsidRPr="00235D5F">
        <w:rPr>
          <w:rFonts w:cs="Calibri"/>
          <w:i/>
        </w:rPr>
        <w:t xml:space="preserve">From the GAC’s </w:t>
      </w:r>
      <w:hyperlink r:id="rId16" w:history="1">
        <w:r w:rsidR="00CA310A">
          <w:rPr>
            <w:rStyle w:val="Hyperlink"/>
            <w:rFonts w:cs="Calibri"/>
            <w:i/>
          </w:rPr>
          <w:t>Singapore Communique</w:t>
        </w:r>
      </w:hyperlink>
      <w:r w:rsidR="00CA310A">
        <w:rPr>
          <w:rFonts w:cs="Calibri"/>
          <w:i/>
        </w:rPr>
        <w:t xml:space="preserve"> </w:t>
      </w:r>
      <w:r w:rsidR="00235D5F" w:rsidRPr="00235D5F">
        <w:rPr>
          <w:rFonts w:cs="Calibri"/>
          <w:i/>
        </w:rPr>
        <w:t>(March 2014):</w:t>
      </w:r>
    </w:p>
    <w:p w:rsidR="00235D5F" w:rsidRPr="00235D5F" w:rsidRDefault="00235D5F" w:rsidP="005226AE">
      <w:pPr>
        <w:widowControl w:val="0"/>
        <w:autoSpaceDE w:val="0"/>
        <w:autoSpaceDN w:val="0"/>
        <w:adjustRightInd w:val="0"/>
        <w:spacing w:after="240" w:line="276" w:lineRule="auto"/>
        <w:rPr>
          <w:rFonts w:cs="Times"/>
        </w:rPr>
      </w:pPr>
      <w:r>
        <w:rPr>
          <w:rFonts w:cs="Calibri"/>
        </w:rPr>
        <w:t>“</w:t>
      </w:r>
      <w:r w:rsidRPr="00235D5F">
        <w:rPr>
          <w:rFonts w:cs="Calibri"/>
        </w:rPr>
        <w:t xml:space="preserve">Referring to the previous advice that the GAC gave to the board to permanently protect from </w:t>
      </w:r>
      <w:proofErr w:type="spellStart"/>
      <w:r w:rsidRPr="00235D5F">
        <w:rPr>
          <w:rFonts w:cs="Calibri"/>
        </w:rPr>
        <w:t>unauthorised</w:t>
      </w:r>
      <w:proofErr w:type="spellEnd"/>
      <w:r w:rsidRPr="00235D5F">
        <w:rPr>
          <w:rFonts w:cs="Calibri"/>
        </w:rPr>
        <w:t xml:space="preserve"> use the terms associated with the International Red Cross and Red Crescent Movement – terms that are protected in international legal instruments and, to a large extent, in legislation in countries throughout the world.</w:t>
      </w:r>
    </w:p>
    <w:p w:rsidR="00235D5F" w:rsidRPr="00235D5F" w:rsidRDefault="00235D5F" w:rsidP="005226AE">
      <w:pPr>
        <w:widowControl w:val="0"/>
        <w:autoSpaceDE w:val="0"/>
        <w:autoSpaceDN w:val="0"/>
        <w:adjustRightInd w:val="0"/>
        <w:spacing w:after="240" w:line="276" w:lineRule="auto"/>
        <w:rPr>
          <w:rFonts w:cs="Times"/>
        </w:rPr>
      </w:pPr>
      <w:r w:rsidRPr="00235D5F">
        <w:rPr>
          <w:rFonts w:cs="Calibri"/>
          <w:b/>
          <w:bCs/>
        </w:rPr>
        <w:t>I. The GAC advises that, for clarity, this should also include:</w:t>
      </w:r>
    </w:p>
    <w:p w:rsidR="00235D5F" w:rsidRPr="00235D5F" w:rsidRDefault="00235D5F" w:rsidP="005226AE">
      <w:pPr>
        <w:pStyle w:val="ListParagraph"/>
        <w:widowControl w:val="0"/>
        <w:numPr>
          <w:ilvl w:val="0"/>
          <w:numId w:val="3"/>
        </w:numPr>
        <w:tabs>
          <w:tab w:val="left" w:pos="220"/>
          <w:tab w:val="left" w:pos="720"/>
        </w:tabs>
        <w:autoSpaceDE w:val="0"/>
        <w:autoSpaceDN w:val="0"/>
        <w:adjustRightInd w:val="0"/>
        <w:spacing w:after="320" w:line="276" w:lineRule="auto"/>
        <w:rPr>
          <w:rFonts w:cs="Calibri"/>
        </w:rPr>
      </w:pPr>
      <w:proofErr w:type="gramStart"/>
      <w:r w:rsidRPr="00235D5F">
        <w:rPr>
          <w:rFonts w:cs="Calibri"/>
        </w:rPr>
        <w:t>the</w:t>
      </w:r>
      <w:proofErr w:type="gramEnd"/>
      <w:r w:rsidRPr="00235D5F">
        <w:rPr>
          <w:rFonts w:cs="Calibri"/>
        </w:rPr>
        <w:t xml:space="preserve"> 189 National Red Cross and Red Crescent Societies, in English and the official languages of their respective states of origin. </w:t>
      </w:r>
    </w:p>
    <w:p w:rsidR="00C92D7A" w:rsidRDefault="00235D5F" w:rsidP="00235D5F">
      <w:pPr>
        <w:pStyle w:val="ListParagraph"/>
        <w:widowControl w:val="0"/>
        <w:numPr>
          <w:ilvl w:val="0"/>
          <w:numId w:val="3"/>
        </w:numPr>
        <w:tabs>
          <w:tab w:val="left" w:pos="220"/>
          <w:tab w:val="left" w:pos="720"/>
        </w:tabs>
        <w:autoSpaceDE w:val="0"/>
        <w:autoSpaceDN w:val="0"/>
        <w:adjustRightInd w:val="0"/>
        <w:spacing w:after="320" w:line="276" w:lineRule="auto"/>
        <w:rPr>
          <w:rFonts w:cs="Calibri"/>
        </w:rPr>
      </w:pPr>
      <w:r w:rsidRPr="00235D5F">
        <w:rPr>
          <w:rFonts w:cs="Calibri"/>
        </w:rPr>
        <w:t xml:space="preserve">The full names of the International Committee of the Red Cross and International Federation of the Red Cross and Red Crescent Societies in the six (6) United Nations Languages. </w:t>
      </w:r>
      <w:r>
        <w:rPr>
          <w:rFonts w:cs="Calibri"/>
        </w:rPr>
        <w:t>“</w:t>
      </w:r>
    </w:p>
    <w:p w:rsidR="00283B8D" w:rsidRDefault="00283B8D" w:rsidP="00283B8D">
      <w:pPr>
        <w:widowControl w:val="0"/>
        <w:tabs>
          <w:tab w:val="left" w:pos="220"/>
          <w:tab w:val="left" w:pos="720"/>
        </w:tabs>
        <w:autoSpaceDE w:val="0"/>
        <w:autoSpaceDN w:val="0"/>
        <w:adjustRightInd w:val="0"/>
        <w:spacing w:after="320" w:line="276" w:lineRule="auto"/>
        <w:ind w:left="720"/>
        <w:rPr>
          <w:rFonts w:cs="Calibri"/>
        </w:rPr>
      </w:pPr>
    </w:p>
    <w:p w:rsidR="00283B8D" w:rsidRPr="00367D83" w:rsidRDefault="00367D83" w:rsidP="00283B8D">
      <w:pPr>
        <w:widowControl w:val="0"/>
        <w:tabs>
          <w:tab w:val="left" w:pos="220"/>
          <w:tab w:val="left" w:pos="720"/>
        </w:tabs>
        <w:autoSpaceDE w:val="0"/>
        <w:autoSpaceDN w:val="0"/>
        <w:adjustRightInd w:val="0"/>
        <w:spacing w:after="320" w:line="276" w:lineRule="auto"/>
        <w:ind w:left="220"/>
        <w:rPr>
          <w:rFonts w:cs="Calibri"/>
          <w:i/>
        </w:rPr>
      </w:pPr>
      <w:proofErr w:type="gramStart"/>
      <w:r>
        <w:rPr>
          <w:rFonts w:cs="Calibri"/>
          <w:i/>
        </w:rPr>
        <w:t xml:space="preserve">(iv) </w:t>
      </w:r>
      <w:r w:rsidR="00283B8D" w:rsidRPr="00367D83">
        <w:rPr>
          <w:rFonts w:cs="Calibri"/>
          <w:i/>
        </w:rPr>
        <w:t>From</w:t>
      </w:r>
      <w:proofErr w:type="gramEnd"/>
      <w:r w:rsidR="00283B8D" w:rsidRPr="00367D83">
        <w:rPr>
          <w:rFonts w:cs="Calibri"/>
          <w:i/>
        </w:rPr>
        <w:t xml:space="preserve"> the GAC’s</w:t>
      </w:r>
      <w:r w:rsidR="00283B8D" w:rsidRPr="008E6BE4">
        <w:rPr>
          <w:rFonts w:cs="Calibri"/>
          <w:i/>
        </w:rPr>
        <w:t xml:space="preserve"> </w:t>
      </w:r>
      <w:hyperlink r:id="rId17" w:history="1">
        <w:r w:rsidR="008E6BE4" w:rsidRPr="008E6BE4">
          <w:rPr>
            <w:rStyle w:val="Hyperlink"/>
            <w:rFonts w:eastAsia="Times New Roman" w:cs="Arial"/>
            <w:shd w:val="clear" w:color="auto" w:fill="FFFFFF"/>
          </w:rPr>
          <w:t xml:space="preserve">London </w:t>
        </w:r>
        <w:proofErr w:type="spellStart"/>
        <w:r w:rsidR="008E6BE4" w:rsidRPr="008E6BE4">
          <w:rPr>
            <w:rStyle w:val="Hyperlink"/>
            <w:rFonts w:eastAsia="Times New Roman" w:cs="Arial"/>
            <w:shd w:val="clear" w:color="auto" w:fill="FFFFFF"/>
          </w:rPr>
          <w:t>Communique</w:t>
        </w:r>
        <w:proofErr w:type="spellEnd"/>
      </w:hyperlink>
      <w:r w:rsidR="008E6BE4">
        <w:rPr>
          <w:rFonts w:cs="Calibri"/>
          <w:i/>
        </w:rPr>
        <w:t xml:space="preserve"> </w:t>
      </w:r>
      <w:r w:rsidR="00283B8D" w:rsidRPr="00367D83">
        <w:rPr>
          <w:rFonts w:cs="Calibri"/>
          <w:i/>
        </w:rPr>
        <w:t>(June 2014):</w:t>
      </w:r>
    </w:p>
    <w:p w:rsidR="00367D83" w:rsidRPr="00367D83" w:rsidRDefault="00283B8D" w:rsidP="00367D83">
      <w:pPr>
        <w:widowControl w:val="0"/>
        <w:tabs>
          <w:tab w:val="left" w:pos="220"/>
          <w:tab w:val="left" w:pos="720"/>
        </w:tabs>
        <w:autoSpaceDE w:val="0"/>
        <w:autoSpaceDN w:val="0"/>
        <w:adjustRightInd w:val="0"/>
        <w:spacing w:after="320"/>
        <w:ind w:left="220"/>
        <w:rPr>
          <w:rFonts w:cs="Calibri"/>
          <w:b/>
        </w:rPr>
      </w:pPr>
      <w:r w:rsidRPr="00367D83">
        <w:rPr>
          <w:b/>
        </w:rPr>
        <w:t xml:space="preserve">Protection of Inter-Governmental </w:t>
      </w:r>
      <w:proofErr w:type="spellStart"/>
      <w:r w:rsidRPr="00367D83">
        <w:rPr>
          <w:b/>
        </w:rPr>
        <w:t>Organisation</w:t>
      </w:r>
      <w:proofErr w:type="spellEnd"/>
      <w:r w:rsidRPr="00367D83">
        <w:rPr>
          <w:b/>
        </w:rPr>
        <w:t xml:space="preserve"> (IGO) Names and </w:t>
      </w:r>
      <w:r w:rsidR="00367D83" w:rsidRPr="00367D83">
        <w:rPr>
          <w:b/>
        </w:rPr>
        <w:t>Acronyms</w:t>
      </w:r>
      <w:r w:rsidR="00367D83">
        <w:rPr>
          <w:b/>
        </w:rPr>
        <w:t>:</w:t>
      </w:r>
      <w:r w:rsidR="00367D83" w:rsidRPr="00367D83">
        <w:rPr>
          <w:b/>
        </w:rPr>
        <w:tab/>
      </w:r>
    </w:p>
    <w:p w:rsidR="00283B8D" w:rsidRPr="00367D83" w:rsidRDefault="00367D83" w:rsidP="00367D83">
      <w:pPr>
        <w:widowControl w:val="0"/>
        <w:tabs>
          <w:tab w:val="left" w:pos="220"/>
          <w:tab w:val="left" w:pos="720"/>
        </w:tabs>
        <w:autoSpaceDE w:val="0"/>
        <w:autoSpaceDN w:val="0"/>
        <w:adjustRightInd w:val="0"/>
        <w:spacing w:after="320" w:line="276" w:lineRule="auto"/>
        <w:ind w:left="720"/>
        <w:rPr>
          <w:rFonts w:cs="Calibri"/>
        </w:rPr>
      </w:pPr>
      <w:r>
        <w:rPr>
          <w:rFonts w:cs="Calibri"/>
        </w:rPr>
        <w:t>“</w:t>
      </w:r>
      <w:r w:rsidR="00283B8D">
        <w:t>Th</w:t>
      </w:r>
      <w:r>
        <w:t xml:space="preserve">e GAC reaffirms its advice from the Toronto, Beijing, </w:t>
      </w:r>
      <w:r w:rsidR="00283B8D">
        <w:t xml:space="preserve">Durban, Buenos Aires </w:t>
      </w:r>
      <w:r>
        <w:t xml:space="preserve">and </w:t>
      </w:r>
      <w:r w:rsidR="00283B8D">
        <w:t xml:space="preserve">Singapore </w:t>
      </w:r>
      <w:r w:rsidR="00403166">
        <w:t xml:space="preserve">Communiqués regarding protection for IGO names and acronyms at the top and second levels, as implementation of such protection is in the </w:t>
      </w:r>
      <w:r w:rsidR="00283B8D" w:rsidRPr="00283B8D">
        <w:t>public</w:t>
      </w:r>
      <w:r w:rsidR="00403166">
        <w:t xml:space="preserve"> interest given that IGOs, as created by governments under </w:t>
      </w:r>
      <w:r>
        <w:t>international</w:t>
      </w:r>
      <w:r w:rsidR="00403166">
        <w:t xml:space="preserve"> law, are objectively different rights holders; notes the NGPC’s letter of 16 June 2014 to the GNSO concerning further steps under </w:t>
      </w:r>
      <w:r>
        <w:t xml:space="preserve">the GNSO </w:t>
      </w:r>
      <w:r w:rsidR="00403166">
        <w:t xml:space="preserve">Policy Development Process while </w:t>
      </w:r>
      <w:r w:rsidR="00283B8D" w:rsidRPr="00283B8D">
        <w:t>expre</w:t>
      </w:r>
      <w:r w:rsidR="00403166">
        <w:t>ssing co</w:t>
      </w:r>
      <w:r>
        <w:t xml:space="preserve">ncerns </w:t>
      </w:r>
      <w:r w:rsidR="00403166">
        <w:t>that the process</w:t>
      </w:r>
      <w:r>
        <w:t xml:space="preserve"> of implementing GAC advice has </w:t>
      </w:r>
      <w:r w:rsidR="00403166">
        <w:t>been so protracted; wel</w:t>
      </w:r>
      <w:r>
        <w:t xml:space="preserve">comes the NGPC’s assurance that </w:t>
      </w:r>
      <w:r w:rsidR="00403166">
        <w:t xml:space="preserve">interim protections remain in place </w:t>
      </w:r>
      <w:r>
        <w:t xml:space="preserve">pending </w:t>
      </w:r>
      <w:r w:rsidR="00403166">
        <w:t>any</w:t>
      </w:r>
      <w:r>
        <w:t xml:space="preserve"> such process; and confirms its willingness to </w:t>
      </w:r>
      <w:r w:rsidR="00403166">
        <w:t xml:space="preserve">work with the GNSO on outcomes that </w:t>
      </w:r>
      <w:r w:rsidR="00283B8D" w:rsidRPr="00283B8D">
        <w:t>me</w:t>
      </w:r>
      <w:r w:rsidR="00403166">
        <w:t xml:space="preserve">et the GAC’s </w:t>
      </w:r>
      <w:r w:rsidR="00283B8D" w:rsidRPr="00283B8D">
        <w:t>concerns.</w:t>
      </w:r>
      <w:r>
        <w:t>”</w:t>
      </w:r>
      <w:r w:rsidR="00283B8D" w:rsidRPr="00283B8D">
        <w:tab/>
      </w:r>
    </w:p>
    <w:p w:rsidR="00283B8D" w:rsidRPr="00367D83" w:rsidRDefault="00403166" w:rsidP="00367D83">
      <w:pPr>
        <w:keepNext/>
        <w:keepLines/>
        <w:ind w:firstLine="220"/>
        <w:rPr>
          <w:b/>
        </w:rPr>
      </w:pPr>
      <w:r w:rsidRPr="00367D83">
        <w:rPr>
          <w:b/>
        </w:rPr>
        <w:t xml:space="preserve">Protection of Red Cross/Red Crescent </w:t>
      </w:r>
      <w:r w:rsidR="00283B8D" w:rsidRPr="00367D83">
        <w:rPr>
          <w:b/>
        </w:rPr>
        <w:t>Names</w:t>
      </w:r>
      <w:r w:rsidR="00367D83">
        <w:rPr>
          <w:b/>
        </w:rPr>
        <w:t>:</w:t>
      </w:r>
      <w:r w:rsidR="00283B8D" w:rsidRPr="00367D83">
        <w:rPr>
          <w:b/>
        </w:rPr>
        <w:tab/>
      </w:r>
    </w:p>
    <w:p w:rsidR="00283B8D" w:rsidRPr="00283B8D" w:rsidRDefault="00283B8D" w:rsidP="00283B8D">
      <w:pPr>
        <w:keepNext/>
        <w:keepLines/>
      </w:pPr>
    </w:p>
    <w:p w:rsidR="00283B8D" w:rsidRDefault="00367D83" w:rsidP="00367D83">
      <w:pPr>
        <w:keepNext/>
        <w:keepLines/>
        <w:ind w:left="720"/>
      </w:pPr>
      <w:r>
        <w:t xml:space="preserve">“The GAC refers to its </w:t>
      </w:r>
      <w:r w:rsidR="00403166">
        <w:t>previous advice to the B</w:t>
      </w:r>
      <w:r>
        <w:t xml:space="preserve">oard to protect permanently the </w:t>
      </w:r>
      <w:r w:rsidR="00403166">
        <w:t>terms an</w:t>
      </w:r>
      <w:r>
        <w:t xml:space="preserve">d names associated with the Red </w:t>
      </w:r>
      <w:r w:rsidR="00403166">
        <w:t xml:space="preserve">Cross and Red Crescent, including those relating to </w:t>
      </w:r>
      <w:r w:rsidR="00283B8D" w:rsidRPr="00283B8D">
        <w:t>the</w:t>
      </w:r>
      <w:r w:rsidR="00403166">
        <w:t xml:space="preserve"> </w:t>
      </w:r>
      <w:r w:rsidR="00283B8D" w:rsidRPr="00283B8D">
        <w:t>18</w:t>
      </w:r>
      <w:r w:rsidR="00403166">
        <w:t xml:space="preserve">9 national Red Cross and Red Crescent </w:t>
      </w:r>
      <w:r>
        <w:t xml:space="preserve">societies, and recalls that the protections afforded to the Red Cross and Red Cross designations and names stem from universally agreed norms of international law and from the national legislation in force in multiple </w:t>
      </w:r>
      <w:r w:rsidR="00283B8D" w:rsidRPr="00283B8D">
        <w:t>jurisdictions.</w:t>
      </w:r>
      <w:r>
        <w:t xml:space="preserve"> Accordingly, the GAC now advises, </w:t>
      </w:r>
      <w:r w:rsidR="00283B8D" w:rsidRPr="00283B8D">
        <w:t>that:</w:t>
      </w:r>
    </w:p>
    <w:p w:rsidR="00367D83" w:rsidRPr="00283B8D" w:rsidRDefault="00367D83" w:rsidP="00367D83">
      <w:pPr>
        <w:keepNext/>
        <w:keepLines/>
        <w:ind w:left="720"/>
      </w:pPr>
    </w:p>
    <w:p w:rsidR="00283B8D" w:rsidRPr="00283B8D" w:rsidRDefault="00367D83" w:rsidP="00367D83">
      <w:pPr>
        <w:keepNext/>
        <w:keepLines/>
        <w:ind w:left="720"/>
      </w:pPr>
      <w:r>
        <w:t xml:space="preserve">I. The Red Cross and Red Crescent terms and names should not be equated with trademarks or trade names and that their protection could not therefore be adequately treated or addressed under ICANN’s </w:t>
      </w:r>
      <w:r w:rsidR="00283B8D" w:rsidRPr="00283B8D">
        <w:t>curativ</w:t>
      </w:r>
      <w:r>
        <w:t xml:space="preserve">e mechanisms for trademark </w:t>
      </w:r>
      <w:r w:rsidR="00283B8D" w:rsidRPr="00283B8D">
        <w:t>protection;</w:t>
      </w:r>
      <w:r w:rsidR="00283B8D" w:rsidRPr="00283B8D">
        <w:tab/>
      </w:r>
    </w:p>
    <w:p w:rsidR="00283B8D" w:rsidRPr="00283B8D" w:rsidRDefault="00283B8D" w:rsidP="00367D83">
      <w:pPr>
        <w:keepNext/>
        <w:keepLines/>
        <w:ind w:left="720"/>
      </w:pPr>
    </w:p>
    <w:p w:rsidR="00283B8D" w:rsidRPr="00283B8D" w:rsidRDefault="00367D83" w:rsidP="00367D83">
      <w:pPr>
        <w:keepNext/>
        <w:keepLines/>
        <w:ind w:left="720"/>
      </w:pPr>
      <w:r>
        <w:t>II. The</w:t>
      </w:r>
      <w:r>
        <w:tab/>
        <w:t>protections due to the Red Cross and Red Crescent terms and names should not be</w:t>
      </w:r>
      <w:r>
        <w:tab/>
        <w:t>subjected to, or conditioned</w:t>
      </w:r>
      <w:r>
        <w:tab/>
        <w:t xml:space="preserve">upon, a </w:t>
      </w:r>
      <w:r w:rsidR="00283B8D" w:rsidRPr="00283B8D">
        <w:t>policy</w:t>
      </w:r>
      <w:r w:rsidR="00283B8D" w:rsidRPr="00283B8D">
        <w:tab/>
      </w:r>
      <w:r>
        <w:t xml:space="preserve">development </w:t>
      </w:r>
      <w:r w:rsidR="00283B8D" w:rsidRPr="00283B8D">
        <w:t>process</w:t>
      </w:r>
      <w:proofErr w:type="gramStart"/>
      <w:r w:rsidR="00283B8D" w:rsidRPr="00283B8D">
        <w:t>;</w:t>
      </w:r>
      <w:proofErr w:type="gramEnd"/>
      <w:r w:rsidR="00283B8D" w:rsidRPr="00283B8D">
        <w:tab/>
      </w:r>
    </w:p>
    <w:p w:rsidR="00283B8D" w:rsidRPr="00283B8D" w:rsidRDefault="00283B8D" w:rsidP="00367D83">
      <w:pPr>
        <w:keepNext/>
        <w:keepLines/>
        <w:ind w:left="720"/>
      </w:pPr>
    </w:p>
    <w:p w:rsidR="00283B8D" w:rsidRPr="00283B8D" w:rsidRDefault="00367D83" w:rsidP="00367D83">
      <w:pPr>
        <w:keepNext/>
        <w:keepLines/>
        <w:ind w:left="720"/>
      </w:pPr>
      <w:r>
        <w:t xml:space="preserve">III. The permanent protection of these terms and </w:t>
      </w:r>
      <w:r w:rsidR="00283B8D" w:rsidRPr="00283B8D">
        <w:t>names</w:t>
      </w:r>
      <w:r w:rsidR="00283B8D" w:rsidRPr="00283B8D">
        <w:tab/>
        <w:t>s</w:t>
      </w:r>
      <w:r>
        <w:t>hould</w:t>
      </w:r>
      <w:r>
        <w:tab/>
        <w:t xml:space="preserve">be confirmed and implemented as a matter of priority, including in particular the names of the international and national Red Cross and Red Crescent </w:t>
      </w:r>
      <w:proofErr w:type="spellStart"/>
      <w:r>
        <w:t>organisations</w:t>
      </w:r>
      <w:proofErr w:type="spellEnd"/>
      <w:r>
        <w:t>.”</w:t>
      </w:r>
    </w:p>
    <w:p w:rsidR="00283B8D" w:rsidRPr="00283B8D" w:rsidRDefault="00283B8D" w:rsidP="00283B8D">
      <w:pPr>
        <w:widowControl w:val="0"/>
        <w:tabs>
          <w:tab w:val="left" w:pos="220"/>
          <w:tab w:val="left" w:pos="720"/>
        </w:tabs>
        <w:autoSpaceDE w:val="0"/>
        <w:autoSpaceDN w:val="0"/>
        <w:adjustRightInd w:val="0"/>
        <w:spacing w:after="320" w:line="276" w:lineRule="auto"/>
        <w:ind w:left="360"/>
        <w:rPr>
          <w:rFonts w:cs="Calibri"/>
        </w:rPr>
      </w:pPr>
    </w:p>
    <w:sectPr w:rsidR="00283B8D" w:rsidRPr="00283B8D" w:rsidSect="00283B8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BE4" w:rsidRDefault="008E6BE4" w:rsidP="008E6BE4">
      <w:r>
        <w:separator/>
      </w:r>
    </w:p>
  </w:endnote>
  <w:endnote w:type="continuationSeparator" w:id="0">
    <w:p w:rsidR="008E6BE4" w:rsidRDefault="008E6BE4" w:rsidP="008E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E4" w:rsidRPr="008E6BE4" w:rsidRDefault="008E6BE4" w:rsidP="008E6BE4">
    <w:pPr>
      <w:pStyle w:val="Footer"/>
      <w:jc w:val="right"/>
      <w:rPr>
        <w:i/>
        <w:sz w:val="20"/>
        <w:szCs w:val="20"/>
      </w:rPr>
    </w:pPr>
    <w:r w:rsidRPr="008E6BE4">
      <w:rPr>
        <w:i/>
        <w:sz w:val="20"/>
        <w:szCs w:val="20"/>
      </w:rPr>
      <w:t>Modified 14 July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BE4" w:rsidRDefault="008E6BE4" w:rsidP="008E6BE4">
      <w:r>
        <w:separator/>
      </w:r>
    </w:p>
  </w:footnote>
  <w:footnote w:type="continuationSeparator" w:id="0">
    <w:p w:rsidR="008E6BE4" w:rsidRDefault="008E6BE4" w:rsidP="008E6B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6C4E7E6"/>
    <w:lvl w:ilvl="0" w:tplc="00000001">
      <w:start w:val="1"/>
      <w:numFmt w:val="lowerLetter"/>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4734F"/>
    <w:multiLevelType w:val="hybridMultilevel"/>
    <w:tmpl w:val="731C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20B94"/>
    <w:multiLevelType w:val="hybridMultilevel"/>
    <w:tmpl w:val="B520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0487F"/>
    <w:multiLevelType w:val="hybridMultilevel"/>
    <w:tmpl w:val="ED60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95B0D"/>
    <w:multiLevelType w:val="hybridMultilevel"/>
    <w:tmpl w:val="9770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5820D2"/>
    <w:multiLevelType w:val="hybridMultilevel"/>
    <w:tmpl w:val="710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7A"/>
    <w:rsid w:val="000102C0"/>
    <w:rsid w:val="00107675"/>
    <w:rsid w:val="001D2A8E"/>
    <w:rsid w:val="00235D5F"/>
    <w:rsid w:val="00283B8D"/>
    <w:rsid w:val="002E2F44"/>
    <w:rsid w:val="002F3F60"/>
    <w:rsid w:val="00367D83"/>
    <w:rsid w:val="00403166"/>
    <w:rsid w:val="0049124F"/>
    <w:rsid w:val="005226AE"/>
    <w:rsid w:val="0057543B"/>
    <w:rsid w:val="006C5FD7"/>
    <w:rsid w:val="007631A2"/>
    <w:rsid w:val="007A2AD8"/>
    <w:rsid w:val="008D454D"/>
    <w:rsid w:val="008E6BE4"/>
    <w:rsid w:val="00993552"/>
    <w:rsid w:val="009A2757"/>
    <w:rsid w:val="009F1BAA"/>
    <w:rsid w:val="00A92B6F"/>
    <w:rsid w:val="00BD1D8A"/>
    <w:rsid w:val="00C4639A"/>
    <w:rsid w:val="00C92D7A"/>
    <w:rsid w:val="00CA310A"/>
    <w:rsid w:val="00D16ED3"/>
    <w:rsid w:val="00DA5243"/>
    <w:rsid w:val="00E06902"/>
    <w:rsid w:val="00E12534"/>
    <w:rsid w:val="00F32591"/>
    <w:rsid w:val="00F5786C"/>
    <w:rsid w:val="00F84E4F"/>
    <w:rsid w:val="00FD3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2D7A"/>
    <w:rPr>
      <w:b/>
      <w:bCs/>
    </w:rPr>
  </w:style>
  <w:style w:type="character" w:customStyle="1" w:styleId="apple-converted-space">
    <w:name w:val="apple-converted-space"/>
    <w:basedOn w:val="DefaultParagraphFont"/>
    <w:rsid w:val="00C92D7A"/>
  </w:style>
  <w:style w:type="character" w:styleId="Hyperlink">
    <w:name w:val="Hyperlink"/>
    <w:basedOn w:val="DefaultParagraphFont"/>
    <w:uiPriority w:val="99"/>
    <w:unhideWhenUsed/>
    <w:rsid w:val="00C92D7A"/>
    <w:rPr>
      <w:color w:val="0000FF" w:themeColor="hyperlink"/>
      <w:u w:val="single"/>
    </w:rPr>
  </w:style>
  <w:style w:type="paragraph" w:styleId="ListParagraph">
    <w:name w:val="List Paragraph"/>
    <w:basedOn w:val="Normal"/>
    <w:uiPriority w:val="34"/>
    <w:qFormat/>
    <w:rsid w:val="007A2AD8"/>
    <w:pPr>
      <w:ind w:left="720"/>
      <w:contextualSpacing/>
    </w:pPr>
  </w:style>
  <w:style w:type="character" w:styleId="CommentReference">
    <w:name w:val="annotation reference"/>
    <w:basedOn w:val="DefaultParagraphFont"/>
    <w:uiPriority w:val="99"/>
    <w:semiHidden/>
    <w:unhideWhenUsed/>
    <w:rsid w:val="00107675"/>
    <w:rPr>
      <w:sz w:val="18"/>
      <w:szCs w:val="18"/>
    </w:rPr>
  </w:style>
  <w:style w:type="paragraph" w:styleId="CommentText">
    <w:name w:val="annotation text"/>
    <w:basedOn w:val="Normal"/>
    <w:link w:val="CommentTextChar"/>
    <w:uiPriority w:val="99"/>
    <w:semiHidden/>
    <w:unhideWhenUsed/>
    <w:rsid w:val="00107675"/>
  </w:style>
  <w:style w:type="character" w:customStyle="1" w:styleId="CommentTextChar">
    <w:name w:val="Comment Text Char"/>
    <w:basedOn w:val="DefaultParagraphFont"/>
    <w:link w:val="CommentText"/>
    <w:uiPriority w:val="99"/>
    <w:semiHidden/>
    <w:rsid w:val="00107675"/>
  </w:style>
  <w:style w:type="paragraph" w:styleId="CommentSubject">
    <w:name w:val="annotation subject"/>
    <w:basedOn w:val="CommentText"/>
    <w:next w:val="CommentText"/>
    <w:link w:val="CommentSubjectChar"/>
    <w:uiPriority w:val="99"/>
    <w:semiHidden/>
    <w:unhideWhenUsed/>
    <w:rsid w:val="00107675"/>
    <w:rPr>
      <w:b/>
      <w:bCs/>
      <w:sz w:val="20"/>
      <w:szCs w:val="20"/>
    </w:rPr>
  </w:style>
  <w:style w:type="character" w:customStyle="1" w:styleId="CommentSubjectChar">
    <w:name w:val="Comment Subject Char"/>
    <w:basedOn w:val="CommentTextChar"/>
    <w:link w:val="CommentSubject"/>
    <w:uiPriority w:val="99"/>
    <w:semiHidden/>
    <w:rsid w:val="00107675"/>
    <w:rPr>
      <w:b/>
      <w:bCs/>
      <w:sz w:val="20"/>
      <w:szCs w:val="20"/>
    </w:rPr>
  </w:style>
  <w:style w:type="paragraph" w:styleId="Revision">
    <w:name w:val="Revision"/>
    <w:hidden/>
    <w:uiPriority w:val="99"/>
    <w:semiHidden/>
    <w:rsid w:val="00107675"/>
  </w:style>
  <w:style w:type="paragraph" w:styleId="BalloonText">
    <w:name w:val="Balloon Text"/>
    <w:basedOn w:val="Normal"/>
    <w:link w:val="BalloonTextChar"/>
    <w:uiPriority w:val="99"/>
    <w:semiHidden/>
    <w:unhideWhenUsed/>
    <w:rsid w:val="00107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7675"/>
    <w:rPr>
      <w:rFonts w:ascii="Lucida Grande" w:hAnsi="Lucida Grande" w:cs="Lucida Grande"/>
      <w:sz w:val="18"/>
      <w:szCs w:val="18"/>
    </w:rPr>
  </w:style>
  <w:style w:type="character" w:styleId="FollowedHyperlink">
    <w:name w:val="FollowedHyperlink"/>
    <w:basedOn w:val="DefaultParagraphFont"/>
    <w:uiPriority w:val="99"/>
    <w:semiHidden/>
    <w:unhideWhenUsed/>
    <w:rsid w:val="00CA310A"/>
    <w:rPr>
      <w:color w:val="800080" w:themeColor="followedHyperlink"/>
      <w:u w:val="single"/>
    </w:rPr>
  </w:style>
  <w:style w:type="paragraph" w:styleId="List2">
    <w:name w:val="List 2"/>
    <w:basedOn w:val="Normal"/>
    <w:uiPriority w:val="99"/>
    <w:unhideWhenUsed/>
    <w:rsid w:val="00283B8D"/>
    <w:pPr>
      <w:ind w:left="720" w:hanging="360"/>
      <w:contextualSpacing/>
    </w:pPr>
  </w:style>
  <w:style w:type="paragraph" w:styleId="Closing">
    <w:name w:val="Closing"/>
    <w:basedOn w:val="Normal"/>
    <w:link w:val="ClosingChar"/>
    <w:uiPriority w:val="99"/>
    <w:unhideWhenUsed/>
    <w:rsid w:val="00283B8D"/>
    <w:pPr>
      <w:ind w:left="4320"/>
    </w:pPr>
  </w:style>
  <w:style w:type="character" w:customStyle="1" w:styleId="ClosingChar">
    <w:name w:val="Closing Char"/>
    <w:basedOn w:val="DefaultParagraphFont"/>
    <w:link w:val="Closing"/>
    <w:uiPriority w:val="99"/>
    <w:rsid w:val="00283B8D"/>
  </w:style>
  <w:style w:type="paragraph" w:styleId="Header">
    <w:name w:val="header"/>
    <w:basedOn w:val="Normal"/>
    <w:link w:val="HeaderChar"/>
    <w:uiPriority w:val="99"/>
    <w:unhideWhenUsed/>
    <w:rsid w:val="008E6BE4"/>
    <w:pPr>
      <w:tabs>
        <w:tab w:val="center" w:pos="4320"/>
        <w:tab w:val="right" w:pos="8640"/>
      </w:tabs>
    </w:pPr>
  </w:style>
  <w:style w:type="character" w:customStyle="1" w:styleId="HeaderChar">
    <w:name w:val="Header Char"/>
    <w:basedOn w:val="DefaultParagraphFont"/>
    <w:link w:val="Header"/>
    <w:uiPriority w:val="99"/>
    <w:rsid w:val="008E6BE4"/>
  </w:style>
  <w:style w:type="paragraph" w:styleId="Footer">
    <w:name w:val="footer"/>
    <w:basedOn w:val="Normal"/>
    <w:link w:val="FooterChar"/>
    <w:uiPriority w:val="99"/>
    <w:unhideWhenUsed/>
    <w:rsid w:val="008E6BE4"/>
    <w:pPr>
      <w:tabs>
        <w:tab w:val="center" w:pos="4320"/>
        <w:tab w:val="right" w:pos="8640"/>
      </w:tabs>
    </w:pPr>
  </w:style>
  <w:style w:type="character" w:customStyle="1" w:styleId="FooterChar">
    <w:name w:val="Footer Char"/>
    <w:basedOn w:val="DefaultParagraphFont"/>
    <w:link w:val="Footer"/>
    <w:uiPriority w:val="99"/>
    <w:rsid w:val="008E6B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2D7A"/>
    <w:rPr>
      <w:b/>
      <w:bCs/>
    </w:rPr>
  </w:style>
  <w:style w:type="character" w:customStyle="1" w:styleId="apple-converted-space">
    <w:name w:val="apple-converted-space"/>
    <w:basedOn w:val="DefaultParagraphFont"/>
    <w:rsid w:val="00C92D7A"/>
  </w:style>
  <w:style w:type="character" w:styleId="Hyperlink">
    <w:name w:val="Hyperlink"/>
    <w:basedOn w:val="DefaultParagraphFont"/>
    <w:uiPriority w:val="99"/>
    <w:unhideWhenUsed/>
    <w:rsid w:val="00C92D7A"/>
    <w:rPr>
      <w:color w:val="0000FF" w:themeColor="hyperlink"/>
      <w:u w:val="single"/>
    </w:rPr>
  </w:style>
  <w:style w:type="paragraph" w:styleId="ListParagraph">
    <w:name w:val="List Paragraph"/>
    <w:basedOn w:val="Normal"/>
    <w:uiPriority w:val="34"/>
    <w:qFormat/>
    <w:rsid w:val="007A2AD8"/>
    <w:pPr>
      <w:ind w:left="720"/>
      <w:contextualSpacing/>
    </w:pPr>
  </w:style>
  <w:style w:type="character" w:styleId="CommentReference">
    <w:name w:val="annotation reference"/>
    <w:basedOn w:val="DefaultParagraphFont"/>
    <w:uiPriority w:val="99"/>
    <w:semiHidden/>
    <w:unhideWhenUsed/>
    <w:rsid w:val="00107675"/>
    <w:rPr>
      <w:sz w:val="18"/>
      <w:szCs w:val="18"/>
    </w:rPr>
  </w:style>
  <w:style w:type="paragraph" w:styleId="CommentText">
    <w:name w:val="annotation text"/>
    <w:basedOn w:val="Normal"/>
    <w:link w:val="CommentTextChar"/>
    <w:uiPriority w:val="99"/>
    <w:semiHidden/>
    <w:unhideWhenUsed/>
    <w:rsid w:val="00107675"/>
  </w:style>
  <w:style w:type="character" w:customStyle="1" w:styleId="CommentTextChar">
    <w:name w:val="Comment Text Char"/>
    <w:basedOn w:val="DefaultParagraphFont"/>
    <w:link w:val="CommentText"/>
    <w:uiPriority w:val="99"/>
    <w:semiHidden/>
    <w:rsid w:val="00107675"/>
  </w:style>
  <w:style w:type="paragraph" w:styleId="CommentSubject">
    <w:name w:val="annotation subject"/>
    <w:basedOn w:val="CommentText"/>
    <w:next w:val="CommentText"/>
    <w:link w:val="CommentSubjectChar"/>
    <w:uiPriority w:val="99"/>
    <w:semiHidden/>
    <w:unhideWhenUsed/>
    <w:rsid w:val="00107675"/>
    <w:rPr>
      <w:b/>
      <w:bCs/>
      <w:sz w:val="20"/>
      <w:szCs w:val="20"/>
    </w:rPr>
  </w:style>
  <w:style w:type="character" w:customStyle="1" w:styleId="CommentSubjectChar">
    <w:name w:val="Comment Subject Char"/>
    <w:basedOn w:val="CommentTextChar"/>
    <w:link w:val="CommentSubject"/>
    <w:uiPriority w:val="99"/>
    <w:semiHidden/>
    <w:rsid w:val="00107675"/>
    <w:rPr>
      <w:b/>
      <w:bCs/>
      <w:sz w:val="20"/>
      <w:szCs w:val="20"/>
    </w:rPr>
  </w:style>
  <w:style w:type="paragraph" w:styleId="Revision">
    <w:name w:val="Revision"/>
    <w:hidden/>
    <w:uiPriority w:val="99"/>
    <w:semiHidden/>
    <w:rsid w:val="00107675"/>
  </w:style>
  <w:style w:type="paragraph" w:styleId="BalloonText">
    <w:name w:val="Balloon Text"/>
    <w:basedOn w:val="Normal"/>
    <w:link w:val="BalloonTextChar"/>
    <w:uiPriority w:val="99"/>
    <w:semiHidden/>
    <w:unhideWhenUsed/>
    <w:rsid w:val="00107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7675"/>
    <w:rPr>
      <w:rFonts w:ascii="Lucida Grande" w:hAnsi="Lucida Grande" w:cs="Lucida Grande"/>
      <w:sz w:val="18"/>
      <w:szCs w:val="18"/>
    </w:rPr>
  </w:style>
  <w:style w:type="character" w:styleId="FollowedHyperlink">
    <w:name w:val="FollowedHyperlink"/>
    <w:basedOn w:val="DefaultParagraphFont"/>
    <w:uiPriority w:val="99"/>
    <w:semiHidden/>
    <w:unhideWhenUsed/>
    <w:rsid w:val="00CA310A"/>
    <w:rPr>
      <w:color w:val="800080" w:themeColor="followedHyperlink"/>
      <w:u w:val="single"/>
    </w:rPr>
  </w:style>
  <w:style w:type="paragraph" w:styleId="List2">
    <w:name w:val="List 2"/>
    <w:basedOn w:val="Normal"/>
    <w:uiPriority w:val="99"/>
    <w:unhideWhenUsed/>
    <w:rsid w:val="00283B8D"/>
    <w:pPr>
      <w:ind w:left="720" w:hanging="360"/>
      <w:contextualSpacing/>
    </w:pPr>
  </w:style>
  <w:style w:type="paragraph" w:styleId="Closing">
    <w:name w:val="Closing"/>
    <w:basedOn w:val="Normal"/>
    <w:link w:val="ClosingChar"/>
    <w:uiPriority w:val="99"/>
    <w:unhideWhenUsed/>
    <w:rsid w:val="00283B8D"/>
    <w:pPr>
      <w:ind w:left="4320"/>
    </w:pPr>
  </w:style>
  <w:style w:type="character" w:customStyle="1" w:styleId="ClosingChar">
    <w:name w:val="Closing Char"/>
    <w:basedOn w:val="DefaultParagraphFont"/>
    <w:link w:val="Closing"/>
    <w:uiPriority w:val="99"/>
    <w:rsid w:val="00283B8D"/>
  </w:style>
  <w:style w:type="paragraph" w:styleId="Header">
    <w:name w:val="header"/>
    <w:basedOn w:val="Normal"/>
    <w:link w:val="HeaderChar"/>
    <w:uiPriority w:val="99"/>
    <w:unhideWhenUsed/>
    <w:rsid w:val="008E6BE4"/>
    <w:pPr>
      <w:tabs>
        <w:tab w:val="center" w:pos="4320"/>
        <w:tab w:val="right" w:pos="8640"/>
      </w:tabs>
    </w:pPr>
  </w:style>
  <w:style w:type="character" w:customStyle="1" w:styleId="HeaderChar">
    <w:name w:val="Header Char"/>
    <w:basedOn w:val="DefaultParagraphFont"/>
    <w:link w:val="Header"/>
    <w:uiPriority w:val="99"/>
    <w:rsid w:val="008E6BE4"/>
  </w:style>
  <w:style w:type="paragraph" w:styleId="Footer">
    <w:name w:val="footer"/>
    <w:basedOn w:val="Normal"/>
    <w:link w:val="FooterChar"/>
    <w:uiPriority w:val="99"/>
    <w:unhideWhenUsed/>
    <w:rsid w:val="008E6BE4"/>
    <w:pPr>
      <w:tabs>
        <w:tab w:val="center" w:pos="4320"/>
        <w:tab w:val="right" w:pos="8640"/>
      </w:tabs>
    </w:pPr>
  </w:style>
  <w:style w:type="character" w:customStyle="1" w:styleId="FooterChar">
    <w:name w:val="Footer Char"/>
    <w:basedOn w:val="DefaultParagraphFont"/>
    <w:link w:val="Footer"/>
    <w:uiPriority w:val="99"/>
    <w:rsid w:val="008E6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1971">
      <w:bodyDiv w:val="1"/>
      <w:marLeft w:val="0"/>
      <w:marRight w:val="0"/>
      <w:marTop w:val="0"/>
      <w:marBottom w:val="0"/>
      <w:divBdr>
        <w:top w:val="none" w:sz="0" w:space="0" w:color="auto"/>
        <w:left w:val="none" w:sz="0" w:space="0" w:color="auto"/>
        <w:bottom w:val="none" w:sz="0" w:space="0" w:color="auto"/>
        <w:right w:val="none" w:sz="0" w:space="0" w:color="auto"/>
      </w:divBdr>
    </w:div>
    <w:div w:id="421536261">
      <w:bodyDiv w:val="1"/>
      <w:marLeft w:val="0"/>
      <w:marRight w:val="0"/>
      <w:marTop w:val="0"/>
      <w:marBottom w:val="0"/>
      <w:divBdr>
        <w:top w:val="none" w:sz="0" w:space="0" w:color="auto"/>
        <w:left w:val="none" w:sz="0" w:space="0" w:color="auto"/>
        <w:bottom w:val="none" w:sz="0" w:space="0" w:color="auto"/>
        <w:right w:val="none" w:sz="0" w:space="0" w:color="auto"/>
      </w:divBdr>
    </w:div>
    <w:div w:id="1284922893">
      <w:bodyDiv w:val="1"/>
      <w:marLeft w:val="0"/>
      <w:marRight w:val="0"/>
      <w:marTop w:val="0"/>
      <w:marBottom w:val="0"/>
      <w:divBdr>
        <w:top w:val="none" w:sz="0" w:space="0" w:color="auto"/>
        <w:left w:val="none" w:sz="0" w:space="0" w:color="auto"/>
        <w:bottom w:val="none" w:sz="0" w:space="0" w:color="auto"/>
        <w:right w:val="none" w:sz="0" w:space="0" w:color="auto"/>
      </w:divBdr>
    </w:div>
    <w:div w:id="1864172801">
      <w:bodyDiv w:val="1"/>
      <w:marLeft w:val="0"/>
      <w:marRight w:val="0"/>
      <w:marTop w:val="0"/>
      <w:marBottom w:val="0"/>
      <w:divBdr>
        <w:top w:val="none" w:sz="0" w:space="0" w:color="auto"/>
        <w:left w:val="none" w:sz="0" w:space="0" w:color="auto"/>
        <w:bottom w:val="none" w:sz="0" w:space="0" w:color="auto"/>
        <w:right w:val="none" w:sz="0" w:space="0" w:color="auto"/>
      </w:divBdr>
    </w:div>
    <w:div w:id="18698788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gnso.icann.org/en/council/resolutions" TargetMode="External"/><Relationship Id="rId13" Type="http://schemas.openxmlformats.org/officeDocument/2006/relationships/hyperlink" Target="http://gnso.icann.org/en/council/resolutions" TargetMode="External"/><Relationship Id="rId14" Type="http://schemas.openxmlformats.org/officeDocument/2006/relationships/hyperlink" Target="https://gacweb.icann.org/download/attachments/32637202/Final_GAC_Communique_Durban_20130718.pdf?version=1&amp;modificationDate=1375971065000&amp;api=v2" TargetMode="External"/><Relationship Id="rId15" Type="http://schemas.openxmlformats.org/officeDocument/2006/relationships/hyperlink" Target="https://gacweb.icann.org/download/attachments/33849634/FINAL_Buenos_Aires_GAC_Communique_20131120.pdf?version=1&amp;modificationDate=1390438464000&amp;api=v2" TargetMode="External"/><Relationship Id="rId16" Type="http://schemas.openxmlformats.org/officeDocument/2006/relationships/hyperlink" Target="https://gacweb.icann.org/download/attachments/34373735/Final%20Communique%20-%20Singapore%202014.pdf?version=1&amp;modificationDate=1396983330000&amp;api=v2" TargetMode="External"/><Relationship Id="rId17" Type="http://schemas.openxmlformats.org/officeDocument/2006/relationships/hyperlink" Target="https://www.icann.org/en/system/.../gac-to-board-25jun14-en.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nso.icann.org/council/annex-2-pdp-manual-13jun13-en.pdf" TargetMode="External"/><Relationship Id="rId9" Type="http://schemas.openxmlformats.org/officeDocument/2006/relationships/hyperlink" Target="http://gnso.icann.org/en/issues/igo-ingo-final-10nov13-en.pdf" TargetMode="External"/><Relationship Id="rId10" Type="http://schemas.openxmlformats.org/officeDocument/2006/relationships/hyperlink" Target="http://www.icann.org/en/news/correspondence/dryden-to-crocker-%20chalaby-annex2-22mar1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1603</Words>
  <Characters>9140</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Wong</dc:creator>
  <cp:lastModifiedBy>Mary Wong</cp:lastModifiedBy>
  <cp:revision>2</cp:revision>
  <dcterms:created xsi:type="dcterms:W3CDTF">2014-07-14T15:43:00Z</dcterms:created>
  <dcterms:modified xsi:type="dcterms:W3CDTF">2014-07-14T15:43:00Z</dcterms:modified>
</cp:coreProperties>
</file>